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18B05CFB"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4B30420E"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w:t>
      </w:r>
      <w:commentRangeStart w:id="489"/>
      <w:r w:rsidR="00F72C92" w:rsidRPr="00F1426F">
        <w:t xml:space="preserve">van </w:t>
      </w:r>
      <w:fldSimple w:instr=" DOCVARIABLE ID01+ ">
        <w:r w:rsidR="00C235A5">
          <w:t>de basistekst</w:t>
        </w:r>
      </w:fldSimple>
      <w:commentRangeEnd w:id="489"/>
      <w:r w:rsidR="00E63DC8">
        <w:rPr>
          <w:rStyle w:val="Verwijzingopmerking"/>
        </w:rPr>
        <w:commentReference w:id="489"/>
      </w:r>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863F41">
        <w:rPr>
          <w:rStyle w:val="Verwijzing"/>
        </w:rPr>
        <w:fldChar w:fldCharType="begin"/>
      </w:r>
      <w:r w:rsidR="00846FFF" w:rsidRPr="00863F41">
        <w:rPr>
          <w:rStyle w:val="Verwijzing"/>
        </w:rPr>
        <w:instrText xml:space="preserve"> REF _Ref_75aaeda1decb78bfe920dcdec054a6f3_1 \r \h </w:instrText>
      </w:r>
      <w:r w:rsidR="00846FFF" w:rsidRPr="00863F41">
        <w:rPr>
          <w:rStyle w:val="Verwijzing"/>
        </w:rPr>
      </w:r>
      <w:r w:rsidR="00846FFF" w:rsidRPr="00863F41">
        <w:rPr>
          <w:rStyle w:val="Verwijzing"/>
        </w:rPr>
        <w:fldChar w:fldCharType="separate"/>
      </w:r>
      <w:r w:rsidR="00C235A5">
        <w:rPr>
          <w:rStyle w:val="Verwijzing"/>
        </w:rPr>
        <w:t>7.6</w:t>
      </w:r>
      <w:r w:rsidR="00846FFF" w:rsidRPr="00863F41">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6153F939" w:rsidR="0064627D"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 xml:space="preserve">via de koppelobjecten Divisie </w:t>
      </w:r>
      <w:r w:rsidR="00CB5198" w:rsidRPr="00CB5198">
        <w:t xml:space="preserve">of </w:t>
      </w:r>
      <w:r w:rsidR="00EE7E8B" w:rsidRPr="00EE7E8B">
        <w:t xml:space="preserve">Divisietekst wordt gekoppeld aan de STOP-elementen Divisie </w:t>
      </w:r>
      <w:r w:rsidR="00CB5198" w:rsidRPr="00CB5198">
        <w:t xml:space="preserve">respectievelijk </w:t>
      </w:r>
      <w:r w:rsidR="00EE7E8B" w:rsidRPr="00EE7E8B">
        <w:t>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het te annoteren Tekstdeel koppelen aan het 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ligt het meest voor de hand bij annotaties met het objecttype Hoofdlijn</w:t>
      </w:r>
      <w:r w:rsidR="000E610D">
        <w:t xml:space="preserve"> en eventueel </w:t>
      </w:r>
      <w:r w:rsidR="000E610D" w:rsidRPr="000E610D">
        <w:t>met het attribuut thema</w:t>
      </w:r>
      <w:r w:rsidR="00844FDB" w:rsidRPr="00844FDB">
        <w:t xml:space="preserve">. Het ligt niet voor de hand om dat te doen bij annotaties met het objecttype </w:t>
      </w:r>
      <w:r w:rsidR="00844FDB" w:rsidRPr="00844FDB">
        <w:lastRenderedPageBreak/>
        <w:t>Gebiedsaanwijzing.</w:t>
      </w:r>
      <w:r w:rsidR="006450A9">
        <w:t xml:space="preserve"> </w:t>
      </w:r>
      <w:r w:rsidR="00993CE9">
        <w:t>Gebiedsaanwijzing is sterk ver</w:t>
      </w:r>
      <w:r w:rsidR="0033674C">
        <w:t>bonden aan de tekst waarin het gebied wordt aangewezen en benoemd. Daarom ligt h</w:t>
      </w:r>
      <w:r w:rsidR="008735F9">
        <w:t xml:space="preserve">et annoteren </w:t>
      </w:r>
      <w:r w:rsidR="00F63F31" w:rsidRPr="00F63F31">
        <w:t>met het objecttype Gebiedsaanwijzing</w:t>
      </w:r>
      <w:r w:rsidR="00D20874">
        <w:t xml:space="preserve">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p w14:paraId="61881CB5" w14:textId="396738E5" w:rsidR="003B48A5" w:rsidRDefault="00C93BB7" w:rsidP="0064627D">
      <w:r>
        <w:t>Een annotatie op een Divisie geldt voor alle onderliggende Divisies, Divisieteksten en Tekstdelen.</w:t>
      </w:r>
      <w:r w:rsidR="00A7726F">
        <w:t xml:space="preserve"> Als voorbeeld: een annotatie met </w:t>
      </w:r>
      <w:r w:rsidR="00493139">
        <w:t xml:space="preserve">een Hoofdlijn </w:t>
      </w:r>
      <w:r w:rsidR="005A6524">
        <w:t>op een Divisie van het hoogste niveau, bijvoorbeeld het hoofdstuk</w:t>
      </w:r>
      <w:r w:rsidR="00DF47B9">
        <w:t xml:space="preserve">, geldt </w:t>
      </w:r>
      <w:r w:rsidR="00692438">
        <w:t>ook voor de onderliggende afdelingen, paragrafen en de tekst in die paragrafen</w:t>
      </w:r>
      <w:r w:rsidR="005A6524">
        <w:t>,</w:t>
      </w:r>
      <w:r w:rsidR="005F2903">
        <w:t xml:space="preserve"> Als dat niet de bedoeling is, moet de annotatie worden toegevoegd op het niveau waar deze van toepassing is.</w:t>
      </w:r>
      <w:r w:rsidR="007F6D51">
        <w:t xml:space="preserve"> </w:t>
      </w:r>
      <w:r w:rsidR="00275D29">
        <w:fldChar w:fldCharType="begin"/>
      </w:r>
      <w:r w:rsidR="00275D29">
        <w:instrText xml:space="preserve"> REF _Ref_dffa8a1d55b7c3053ffb54240e584d14_1 \w \h </w:instrText>
      </w:r>
      <w:r w:rsidR="00275D29">
        <w:fldChar w:fldCharType="separate"/>
      </w:r>
      <w:r w:rsidR="00C235A5">
        <w:t>Figuur 60</w:t>
      </w:r>
      <w:r w:rsidR="00275D29">
        <w:fldChar w:fldCharType="end"/>
      </w:r>
      <w:r w:rsidR="00275D29">
        <w:t xml:space="preserve"> en </w:t>
      </w:r>
      <w:r w:rsidR="00275D29">
        <w:fldChar w:fldCharType="begin"/>
      </w:r>
      <w:r w:rsidR="00275D29">
        <w:instrText xml:space="preserve"> REF _Ref_dffa8a1d55b7c3053ffb54240e584d14_2 \w \h </w:instrText>
      </w:r>
      <w:r w:rsidR="00275D29">
        <w:fldChar w:fldCharType="separate"/>
      </w:r>
      <w:r w:rsidR="00C235A5">
        <w:t>Figuur 61</w:t>
      </w:r>
      <w:r w:rsidR="00275D29">
        <w:fldChar w:fldCharType="end"/>
      </w:r>
      <w:r w:rsidR="00275D29">
        <w:t xml:space="preserve"> laten schematische voorbeelden zien van deze doorwerking.</w:t>
      </w:r>
    </w:p>
    <w:p w14:paraId="61718D6E" w14:textId="6D6F8C67" w:rsidR="00313B66" w:rsidRDefault="001154A9" w:rsidP="00313B66">
      <w:pPr>
        <w:pStyle w:val="Figuur"/>
      </w:pPr>
      <w:r>
        <w:rPr>
          <w:noProof/>
        </w:rPr>
        <w:drawing>
          <wp:inline distT="0" distB="0" distL="0" distR="0" wp14:anchorId="4B885C35" wp14:editId="726C4EC8">
            <wp:extent cx="3867150" cy="2618750"/>
            <wp:effectExtent l="19050" t="19050" r="19050" b="1016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70161" cy="2620789"/>
                    </a:xfrm>
                    <a:prstGeom prst="rect">
                      <a:avLst/>
                    </a:prstGeom>
                    <a:noFill/>
                    <a:ln>
                      <a:solidFill>
                        <a:schemeClr val="accent1"/>
                      </a:solidFill>
                    </a:ln>
                  </pic:spPr>
                </pic:pic>
              </a:graphicData>
            </a:graphic>
          </wp:inline>
        </w:drawing>
      </w:r>
    </w:p>
    <w:p w14:paraId="730CF829" w14:textId="3A50589B" w:rsidR="005E041D" w:rsidRDefault="005E041D" w:rsidP="005E041D">
      <w:pPr>
        <w:pStyle w:val="Figuurbijschrift"/>
      </w:pPr>
      <w:bookmarkStart w:id="490" w:name="_Ref_dffa8a1d55b7c3053ffb54240e584d14_1"/>
      <w:r>
        <w:t>D</w:t>
      </w:r>
      <w:r w:rsidR="0029309F">
        <w:t>oorwerking van een annotatie op</w:t>
      </w:r>
      <w:r w:rsidR="0015363A">
        <w:t xml:space="preserve"> onderliggende Divisies</w:t>
      </w:r>
      <w:r w:rsidR="00244F7B">
        <w:t>. Divisieteksten en inhoud</w:t>
      </w:r>
      <w:bookmarkEnd w:id="490"/>
    </w:p>
    <w:p w14:paraId="6D33399D" w14:textId="326DE3BA" w:rsidR="00AF144D" w:rsidRDefault="00DD50FB" w:rsidP="00AF144D">
      <w:pPr>
        <w:pStyle w:val="Figuur"/>
      </w:pPr>
      <w:r>
        <w:rPr>
          <w:noProof/>
        </w:rPr>
        <w:drawing>
          <wp:inline distT="0" distB="0" distL="0" distR="0" wp14:anchorId="4EA711FD" wp14:editId="6BB58ECD">
            <wp:extent cx="3943350" cy="2751148"/>
            <wp:effectExtent l="19050" t="19050" r="19050" b="1143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51219" cy="2756638"/>
                    </a:xfrm>
                    <a:prstGeom prst="rect">
                      <a:avLst/>
                    </a:prstGeom>
                    <a:noFill/>
                    <a:ln>
                      <a:solidFill>
                        <a:schemeClr val="accent1"/>
                      </a:solidFill>
                    </a:ln>
                  </pic:spPr>
                </pic:pic>
              </a:graphicData>
            </a:graphic>
          </wp:inline>
        </w:drawing>
      </w:r>
    </w:p>
    <w:p w14:paraId="186544BA" w14:textId="55119CDC" w:rsidR="00AF144D" w:rsidRDefault="007F6D51" w:rsidP="00AF144D">
      <w:pPr>
        <w:pStyle w:val="Figuurbijschrift"/>
      </w:pPr>
      <w:bookmarkStart w:id="491" w:name="_Ref_dffa8a1d55b7c3053ffb54240e584d14_2"/>
      <w:r>
        <w:t>Doorwerking annotaties op verschillende niveaus</w:t>
      </w:r>
      <w:bookmarkEnd w:id="491"/>
    </w:p>
    <w:p w14:paraId="0BE0AAFB" w14:textId="4FE18EAE" w:rsidR="0015363A" w:rsidRPr="0015363A" w:rsidRDefault="008F5ED8" w:rsidP="0015363A">
      <w:r>
        <w:lastRenderedPageBreak/>
        <w:t xml:space="preserve">Door dit principe zal een viewer als de DSO-viewer </w:t>
      </w:r>
      <w:r w:rsidR="000C5E77">
        <w:t>bij het filteren op bijvoorbeeld een Hoofdlijn</w:t>
      </w:r>
      <w:r w:rsidR="002C06EE">
        <w:t xml:space="preserve">, de Divisie die met die specifieke Hoofdlijn is geannoteerd én alle onderliggende </w:t>
      </w:r>
      <w:r w:rsidR="002C06EE" w:rsidRPr="002C06EE">
        <w:t>Divisies, Divisieteksten en Tekstdelen</w:t>
      </w:r>
      <w:r w:rsidR="002C06EE">
        <w:t xml:space="preserve"> als resultaat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78" Type="http://schemas.openxmlformats.org/officeDocument/2006/relationships/image" Target="media/image_53c06e0116a63d4a099670b6eac84706.png"/><Relationship Id="rId79"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