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39342D" w:rsidRPr="00F1426F" w:rsidRDefault="00D15296" w:rsidP="002F7B04">
      <w:pPr>
        <w:pStyle w:val="Kop4"/>
      </w:pPr>
      <w:r w:rsidRPr="00F1426F">
        <w:lastRenderedPageBreak/>
        <w:t>Toelichting op de norm</w:t>
      </w:r>
    </w:p>
    <w:p w14:paraId="64BB6B2B" w14:textId="7A982192" w:rsidR="00030D6F" w:rsidRPr="00F1426F" w:rsidRDefault="000A5662" w:rsidP="006C5F9B">
      <w:r w:rsidRPr="00F1426F">
        <w:t xml:space="preserve">Het attribuut </w:t>
      </w:r>
      <w:r w:rsidRPr="00F1426F">
        <w:rPr>
          <w:i/>
        </w:rPr>
        <w:t>identificatie</w:t>
      </w:r>
      <w:r w:rsidRPr="00F1426F">
        <w:t xml:space="preserve"> behoeft geen toelichting.</w:t>
      </w:r>
    </w:p>
    <w:p w14:paraId="410C39F6" w14:textId="050B4A3C" w:rsidR="00E6168E" w:rsidRPr="00F1426F" w:rsidRDefault="00E6168E" w:rsidP="006C5F9B"/>
    <w:p w14:paraId="2FC27DA4" w14:textId="6257C2FD" w:rsidR="00C717D8" w:rsidRDefault="00C717D8" w:rsidP="006C5F9B">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w:t>
      </w:r>
      <w:r w:rsidR="00D26941" w:rsidRPr="00F1426F">
        <w:t>Divisie</w:t>
      </w:r>
      <w:r w:rsidRPr="00F1426F">
        <w:t xml:space="preserve">, </w:t>
      </w:r>
      <w:r w:rsidR="00D26941" w:rsidRPr="00F1426F">
        <w:t>Tekstdeel</w:t>
      </w:r>
      <w:r w:rsidRPr="00F1426F">
        <w:t xml:space="preserve"> en Locatie</w:t>
      </w:r>
      <w:r w:rsidR="00025397" w:rsidRPr="00F1426F">
        <w:t xml:space="preserve"> en geeft aan wat het werkingsgebied van de Divisie is: het gebied waar het Tekstdeel zijn werking heeft</w:t>
      </w:r>
      <w:r w:rsidRPr="00F1426F">
        <w:t>.</w:t>
      </w:r>
      <w:r w:rsidR="00C677D6" w:rsidRPr="00F1426F">
        <w:t xml:space="preserve"> De </w:t>
      </w:r>
      <w:r w:rsidR="00C677D6" w:rsidRPr="00F1426F">
        <w:rPr>
          <w:i/>
          <w:iCs/>
        </w:rPr>
        <w:t>relatie</w:t>
      </w:r>
      <w:r w:rsidR="00C677D6" w:rsidRPr="00F1426F">
        <w:t xml:space="preserve"> </w:t>
      </w:r>
      <w:r w:rsidR="00140FAE" w:rsidRPr="00F1426F">
        <w:t xml:space="preserve">wordt afgeleid </w:t>
      </w:r>
      <w:r w:rsidR="001824D7" w:rsidRPr="00F1426F">
        <w:t xml:space="preserve">door LVBB en </w:t>
      </w:r>
      <w:r w:rsidR="00140FAE" w:rsidRPr="00F1426F">
        <w:t>in DSO</w:t>
      </w:r>
      <w:r w:rsidR="001824D7" w:rsidRPr="00F1426F">
        <w:t>-LV</w:t>
      </w:r>
      <w:r w:rsidR="00140FAE" w:rsidRPr="00F1426F">
        <w:t xml:space="preserve"> waarbij de som van de locaties van de onderliggende Tekstdelen wordt gebruikt. Het is dus niet zo dat het bevoegd gezag ook nog een afzonderlijke geometrie voor het werkingsgebied moet aanleveren.</w:t>
      </w:r>
    </w:p>
    <w:p w14:paraId="586B88F8" w14:textId="77777777" w:rsidR="00F56035" w:rsidRDefault="00F56035" w:rsidP="006C5F9B"/>
    <w:p w14:paraId="346C35EA" w14:textId="07383B23" w:rsidR="00F56035" w:rsidRDefault="003A7D37" w:rsidP="006C5F9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