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CC608" w14:textId="3F7A7357" w:rsidR="00036B39" w:rsidRPr="00F1426F" w:rsidRDefault="00061812" w:rsidP="002F7B04">
      <w:pPr>
        <w:pStyle w:val="Kop4"/>
      </w:pPr>
      <w:r w:rsidRPr="00F1426F">
        <w:t>Norm</w:t>
      </w:r>
    </w:p>
    <w:p w14:paraId="2CFFD6AB" w14:textId="643A9173" w:rsidR="00030D6F" w:rsidRPr="007B60F8" w:rsidRDefault="00107182" w:rsidP="002F7B04">
      <w:pPr>
        <w:pStyle w:val="Figuur"/>
      </w:pPr>
      <w:r w:rsidRPr="00107182">
        <w:rPr>
          <w:noProof/>
        </w:rPr>
        <w:drawing>
          <wp:inline distT="0" distB="0" distL="0" distR="0" wp14:anchorId="7258ECC3" wp14:editId="2A15C5A1">
            <wp:extent cx="5400040" cy="2013585"/>
            <wp:effectExtent l="0" t="0" r="0" b="0"/>
            <wp:docPr id="40" name="Graphic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extLst>
                        <a:ext uri="{96DAC541-7B7A-43D3-8B79-37D633B846F1}">
                          <asvg:svgBlip xmlns:asvg="http://schemas.microsoft.com/office/drawing/2016/SVG/main" r:embed="rId93"/>
                        </a:ext>
                      </a:extLst>
                    </a:blip>
                    <a:stretch>
                      <a:fillRect/>
                    </a:stretch>
                  </pic:blipFill>
                  <pic:spPr>
                    <a:xfrm>
                      <a:off x="0" y="0"/>
                      <a:ext cx="5400040" cy="2013585"/>
                    </a:xfrm>
                    <a:prstGeom prst="rect">
                      <a:avLst/>
                    </a:prstGeom>
                  </pic:spPr>
                </pic:pic>
              </a:graphicData>
            </a:graphic>
          </wp:inline>
        </w:drawing>
      </w:r>
    </w:p>
    <w:p w14:paraId="72993529" w14:textId="6DDB1710" w:rsidR="00061812" w:rsidRPr="00F1426F" w:rsidRDefault="00EB1CC0" w:rsidP="002F7B04">
      <w:pPr>
        <w:pStyle w:val="Figuurbijschrift"/>
      </w:pPr>
      <w:r w:rsidRPr="00F1426F">
        <w:t>Uitsnede uit IMOW-diagram voor</w:t>
      </w:r>
      <w:r w:rsidR="00061812" w:rsidRPr="00F1426F">
        <w:t xml:space="preserve"> objecttype Hoofdlijn</w:t>
      </w:r>
    </w:p>
    <w:p w14:paraId="14024907" w14:textId="6C1FE653" w:rsidR="003637F0" w:rsidRPr="00F1426F" w:rsidRDefault="003637F0" w:rsidP="002F7B04">
      <w:r w:rsidRPr="00F1426F">
        <w:t>Hoofdlijn kent de volgende attributen:</w:t>
      </w:r>
    </w:p>
    <w:p w14:paraId="56A77C2A" w14:textId="150A5C69" w:rsidR="009B66A2" w:rsidRPr="00F1426F" w:rsidRDefault="009B66A2" w:rsidP="002F7B04">
      <w:pPr>
        <w:pStyle w:val="Opsommingtekens1"/>
      </w:pPr>
      <w:r w:rsidRPr="00F1426F">
        <w:rPr>
          <w:i/>
          <w:iCs/>
        </w:rPr>
        <w:t>identificatie</w:t>
      </w:r>
      <w:r w:rsidRPr="00F1426F">
        <w:t xml:space="preserve">: </w:t>
      </w:r>
      <w:r w:rsidR="003529F7" w:rsidRPr="00F1426F">
        <w:t>de unieke identificatie waaronder elk object van dit type bekend is. Identificatie conform datatype NEN3610-ID. Verplicht attribuut. Komt 1 keer voor.</w:t>
      </w:r>
      <w:r w:rsidR="001E456D">
        <w:t xml:space="preserve"> </w:t>
      </w:r>
      <w:r w:rsidR="001E456D" w:rsidRPr="001E456D">
        <w:t xml:space="preserve">De identificatie moet de code (uit de STOP-waardelijst voor gemeente, waterschap, provincie </w:t>
      </w:r>
      <w:r w:rsidR="00D77498">
        <w:t>of ministerie)</w:t>
      </w:r>
      <w:r w:rsidR="001E456D" w:rsidRPr="001E456D">
        <w:t xml:space="preserve"> bevatten van het bevoegd gezag dat het besluit neemt waarmee de Regeling wordt ingesteld of gewijzigd.</w:t>
      </w:r>
    </w:p>
    <w:p w14:paraId="36B85820" w14:textId="694FB5B4" w:rsidR="003637F0" w:rsidRPr="00F1426F" w:rsidRDefault="003637F0" w:rsidP="002F7B04">
      <w:pPr>
        <w:pStyle w:val="Opsommingtekens1"/>
      </w:pPr>
      <w:r w:rsidRPr="00F1426F">
        <w:rPr>
          <w:i/>
          <w:iCs/>
        </w:rPr>
        <w:t>naam</w:t>
      </w:r>
      <w:r w:rsidRPr="00F1426F">
        <w:t>: de naam van de</w:t>
      </w:r>
      <w:r w:rsidR="00853D7A" w:rsidRPr="00F1426F">
        <w:t>ze specifieke</w:t>
      </w:r>
      <w:r w:rsidRPr="00F1426F">
        <w:t xml:space="preserve"> </w:t>
      </w:r>
      <w:r w:rsidR="0029083D" w:rsidRPr="00F1426F">
        <w:t>H</w:t>
      </w:r>
      <w:r w:rsidRPr="00F1426F">
        <w:t xml:space="preserve">oofdlijn. </w:t>
      </w:r>
      <w:r w:rsidR="00D8773A" w:rsidRPr="00F1426F">
        <w:t xml:space="preserve">Het bevoegd gezag is vrij in de keuze van de naam van de </w:t>
      </w:r>
      <w:r w:rsidR="0029083D" w:rsidRPr="00F1426F">
        <w:t>H</w:t>
      </w:r>
      <w:r w:rsidR="00D8773A" w:rsidRPr="00F1426F">
        <w:t>oofdlijn</w:t>
      </w:r>
      <w:r w:rsidRPr="00F1426F">
        <w:t>. Verplicht attribuut, komt 1 keer voor.</w:t>
      </w:r>
    </w:p>
    <w:p w14:paraId="5919A182" w14:textId="257DCA06" w:rsidR="003637F0" w:rsidRPr="00F1426F" w:rsidRDefault="003637F0" w:rsidP="002F7B04">
      <w:pPr>
        <w:pStyle w:val="Opsommingtekens1"/>
      </w:pPr>
      <w:r w:rsidRPr="00F1426F">
        <w:rPr>
          <w:i/>
          <w:iCs/>
        </w:rPr>
        <w:t>soort</w:t>
      </w:r>
      <w:r w:rsidRPr="00F1426F">
        <w:t xml:space="preserve">: </w:t>
      </w:r>
      <w:r w:rsidR="001D2091" w:rsidRPr="00F1426F">
        <w:t xml:space="preserve">de </w:t>
      </w:r>
      <w:r w:rsidRPr="00F1426F">
        <w:t xml:space="preserve">soort </w:t>
      </w:r>
      <w:r w:rsidR="001D2091" w:rsidRPr="00F1426F">
        <w:t xml:space="preserve">waartoe deze </w:t>
      </w:r>
      <w:r w:rsidR="0029083D" w:rsidRPr="00F1426F">
        <w:t>H</w:t>
      </w:r>
      <w:r w:rsidRPr="00F1426F">
        <w:t>oofdlijn</w:t>
      </w:r>
      <w:r w:rsidR="001D2091" w:rsidRPr="00F1426F">
        <w:t xml:space="preserve"> behoort</w:t>
      </w:r>
      <w:r w:rsidRPr="00F1426F">
        <w:t xml:space="preserve">. </w:t>
      </w:r>
      <w:r w:rsidR="00816262" w:rsidRPr="00F1426F">
        <w:t xml:space="preserve">Het bevoegd gezag is vrij </w:t>
      </w:r>
      <w:r w:rsidR="00611834" w:rsidRPr="00F1426F">
        <w:t xml:space="preserve">in het kiezen van een benaming voor </w:t>
      </w:r>
      <w:r w:rsidR="00816262" w:rsidRPr="00F1426F">
        <w:rPr>
          <w:i/>
          <w:iCs/>
        </w:rPr>
        <w:t>soort</w:t>
      </w:r>
      <w:r w:rsidRPr="00F1426F">
        <w:t>. Verplicht attribuut, komt 1 keer voor.</w:t>
      </w:r>
    </w:p>
    <w:p w14:paraId="5E2B45E4" w14:textId="727B10FB" w:rsidR="00F024A6" w:rsidRPr="00F1426F" w:rsidRDefault="00F024A6" w:rsidP="002F7B04">
      <w:pPr>
        <w:pStyle w:val="Opsommingtekens1"/>
      </w:pPr>
      <w:r w:rsidRPr="00F1426F">
        <w:rPr>
          <w:i/>
          <w:iCs/>
        </w:rPr>
        <w:lastRenderedPageBreak/>
        <w:t>gerelateerdeHoofdlijn</w:t>
      </w:r>
      <w:r w:rsidRPr="00F1426F">
        <w:t xml:space="preserve">: </w:t>
      </w:r>
      <w:r w:rsidR="00DC424B" w:rsidRPr="00F1426F">
        <w:t>de verwijzing van een specifieke Hoofdlijn naar een andere Hoofdlijn die aangeeft dat er een bijzondere relatie bestaat tussen die twee Hoofdlijnen. Optioneel attribuut. Komt zo vaak voor als gewenst.</w:t>
      </w:r>
    </w:p>
    <w:p w14:paraId="7647607F" w14:textId="72D28E55" w:rsidR="00567E1D" w:rsidRPr="00F1426F" w:rsidRDefault="00567E1D" w:rsidP="002F7B04"/>
    <w:p w14:paraId="12AB4992" w14:textId="52F609AF" w:rsidR="00567E1D" w:rsidRPr="00F1426F" w:rsidRDefault="00567E1D" w:rsidP="002F7B04">
      <w:r w:rsidRPr="00F1426F">
        <w:t>Hoofdlijn kent geen waardelijsten en geen constraints.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92" Type="http://schemas.openxmlformats.org/officeDocument/2006/relationships/image" Target="media/image_5cf90ba39bb4672e43ef55a0bb478360.png"/><Relationship Id="rId93" Type="http://schemas.openxmlformats.org/officeDocument/2006/relationships/image" Target="media/image_79debaa73ff85833fb82623ca8635986.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