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bookmarkStart w:id="600" w:name="_Ref_e9d29f142504d47ca978ddd714fc966e_1"/>
      <w:r w:rsidRPr="00F1426F">
        <w:t>Norm</w:t>
      </w:r>
      <w:bookmarkEnd w:id="600"/>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96DAC541-7B7A-43D3-8B79-37D633B846F1}">
                          <asvg:svgBlip xmlns:asvg="http://schemas.microsoft.com/office/drawing/2016/SVG/main" r:embed="rId104"/>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57BED1C1"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23FC987E"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lastRenderedPageBreak/>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357804E2"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w:t>
      </w:r>
      <w:r w:rsidR="00AF67C8">
        <w:t xml:space="preserve">kiest de juiste </w:t>
      </w:r>
      <w:r w:rsidRPr="00F1426F">
        <w:t xml:space="preserve">de eenheid, waarbij gebruik gemaakt </w:t>
      </w:r>
      <w:r w:rsidR="00AF67C8">
        <w:t xml:space="preserve">wordt </w:t>
      </w:r>
      <w:r w:rsidRPr="00F1426F">
        <w:t xml:space="preserve">van de </w:t>
      </w:r>
      <w:r w:rsidR="00AE2C2F" w:rsidRPr="00F1426F">
        <w:t>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Default="00FF6BDC" w:rsidP="002F7B04">
      <w:pPr>
        <w:pStyle w:val="Opsommingtekens1"/>
      </w:pPr>
      <w:r w:rsidRPr="00F1426F">
        <w:t>eenheid alleen bij kwantitatieve normwaarden</w:t>
      </w:r>
      <w:r w:rsidR="00A23811" w:rsidRPr="00F1426F">
        <w:t>.</w:t>
      </w:r>
    </w:p>
    <w:p w14:paraId="2DF23D74" w14:textId="3DBB7A32" w:rsidR="007D38A4" w:rsidRDefault="007D38A4" w:rsidP="007D38A4">
      <w:pPr>
        <w:pStyle w:val="Kader"/>
      </w:pPr>
      <w:r>
        <w:rPr>
          <w:noProof/>
        </w:rPr>
        <mc:AlternateContent>
          <mc:Choice Requires="wps">
            <w:drawing>
              <wp:inline distT="0" distB="0" distL="0" distR="0" wp14:anchorId="5C4BA535" wp14:editId="71C0E88C">
                <wp:extent cx="5400040" cy="2051178"/>
                <wp:effectExtent l="0" t="0" r="22860" b="22860"/>
                <wp:docPr id="2104567895" name="Tekstvak 2104567895"/>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04E6BF0F" w14:textId="77777777" w:rsidR="007D38A4" w:rsidRDefault="007D38A4" w:rsidP="007D38A4">
                            <w:pPr>
                              <w:rPr>
                                <w:b/>
                                <w:bCs/>
                              </w:rPr>
                            </w:pPr>
                            <w:r>
                              <w:rPr>
                                <w:b/>
                                <w:bCs/>
                              </w:rPr>
                              <w:t>Werkafspraak Geometrie en Normwaarde</w:t>
                            </w:r>
                          </w:p>
                          <w:p w14:paraId="233C4957" w14:textId="77777777" w:rsidR="007D38A4" w:rsidRDefault="007D38A4" w:rsidP="007D38A4">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5AD64C7F" w14:textId="77777777" w:rsidR="007D38A4" w:rsidRDefault="007D38A4" w:rsidP="007D38A4"/>
                          <w:p w14:paraId="4A8D0EF3" w14:textId="148FE912" w:rsidR="00C235A5" w:rsidRDefault="007D38A4" w:rsidP="006D2D1F">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3B351F15" w14:textId="20836A27" w:rsidR="007D38A4" w:rsidRDefault="007D38A4" w:rsidP="00565925">
                            <w:pPr>
                              <w:pStyle w:val="Opsommingnummers1"/>
                              <w:numPr>
                                <w:ilvl w:val="0"/>
                                <w:numId w:val="86"/>
                              </w:numPr>
                            </w:pPr>
                            <w:r>
                              <w:t>Aangezien een Normwaarde geldt per individuele geometrie is een Normwaarde die bedoeld is als gezamenlijke waarde voor meerdere geometrieën niet toegestaan.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4BA535" id="Tekstvak 2104567895" o:spid="_x0000_s1035"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CKDUQQvAgAAWgQAAA4AAAAAAAAAAAAAAAAALgIAAGRy&#10;cy9lMm9Eb2MueG1sUEsBAi0AFAAGAAgAAAAhANEsAdvcAAAABQEAAA8AAAAAAAAAAAAAAAAAiQQA&#10;AGRycy9kb3ducmV2LnhtbFBLBQYAAAAABAAEAPMAAACSBQAAAAA=&#10;" filled="f" strokeweight=".5pt">
                <v:textbox style="mso-fit-shape-to-text:t">
                  <w:txbxContent>
                    <w:p w14:paraId="04E6BF0F" w14:textId="77777777" w:rsidR="007D38A4" w:rsidRDefault="007D38A4" w:rsidP="007D38A4">
                      <w:pPr>
                        <w:rPr>
                          <w:b/>
                          <w:bCs/>
                        </w:rPr>
                      </w:pPr>
                      <w:r>
                        <w:rPr>
                          <w:b/>
                          <w:bCs/>
                        </w:rPr>
                        <w:t>Werkafspraak Geometrie en Normwaarde</w:t>
                      </w:r>
                    </w:p>
                    <w:p w14:paraId="233C4957" w14:textId="77777777" w:rsidR="007D38A4" w:rsidRDefault="007D38A4" w:rsidP="007D38A4">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5AD64C7F" w14:textId="77777777" w:rsidR="007D38A4" w:rsidRDefault="007D38A4" w:rsidP="007D38A4"/>
                    <w:p w14:paraId="4A8D0EF3" w14:textId="148FE912" w:rsidR="00C235A5" w:rsidRDefault="007D38A4" w:rsidP="006D2D1F">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3B351F15" w14:textId="20836A27" w:rsidR="007D38A4" w:rsidRDefault="007D38A4" w:rsidP="00565925">
                      <w:pPr>
                        <w:pStyle w:val="Opsommingnummers1"/>
                        <w:numPr>
                          <w:ilvl w:val="0"/>
                          <w:numId w:val="86"/>
                        </w:numPr>
                      </w:pPr>
                      <w:r>
                        <w:t>Aangezien een Normwaarde geldt per individuele geometrie is een Normwaarde die bedoeld is als gezamenlijke waarde voor meerdere geometrieën niet toegestaan.</w:t>
                      </w:r>
                    </w:p>
                  </w:txbxContent>
                </v:textbox>
                <w10:anchorlock/>
              </v:shape>
            </w:pict>
          </mc:Fallback>
        </mc:AlternateContent>
      </w:r>
    </w:p>
    <w:p w14:paraId="36553DA0" w14:textId="2E438714" w:rsidR="00616C25" w:rsidRDefault="00616C25" w:rsidP="00616C25">
      <w:pPr>
        <w:pStyle w:val="Kader"/>
      </w:pPr>
      <w:r>
        <w:rPr>
          <w:noProof/>
        </w:rPr>
        <w:lastRenderedPageBreak/>
        <mc:AlternateContent>
          <mc:Choice Requires="wps">
            <w:drawing>
              <wp:inline distT="0" distB="0" distL="0" distR="0" wp14:anchorId="6FA1C6BB" wp14:editId="039B34E5">
                <wp:extent cx="5400040" cy="1163222"/>
                <wp:effectExtent l="0" t="0" r="22860" b="16510"/>
                <wp:docPr id="1078474036" name="Tekstvak 107847403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0D9A0EC" w14:textId="14ECDE6E" w:rsidR="00616C25" w:rsidRDefault="00616C25" w:rsidP="00616C25">
                            <w:pPr>
                              <w:rPr>
                                <w:b/>
                                <w:bCs/>
                              </w:rPr>
                            </w:pPr>
                            <w:r>
                              <w:rPr>
                                <w:b/>
                                <w:bCs/>
                              </w:rPr>
                              <w:t>Werkafspraak</w:t>
                            </w:r>
                            <w:r w:rsidR="00FD2460">
                              <w:rPr>
                                <w:b/>
                                <w:bCs/>
                              </w:rPr>
                              <w:t xml:space="preserve"> Geen overlap</w:t>
                            </w:r>
                          </w:p>
                          <w:p w14:paraId="47FF6283" w14:textId="77777777"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B732132" w14:textId="77777777" w:rsidR="00616C25" w:rsidRDefault="00616C25" w:rsidP="00616C25"/>
                          <w:p w14:paraId="333C6A9B" w14:textId="0711783D" w:rsidR="002D44BD" w:rsidRDefault="004E5E78" w:rsidP="00616C25">
                            <w:r w:rsidRPr="004E5E78">
                              <w:t xml:space="preserve">Een </w:t>
                            </w:r>
                            <w:r w:rsidR="00705581">
                              <w:t>Norm</w:t>
                            </w:r>
                            <w:r w:rsidRPr="004E5E78">
                              <w:t xml:space="preserve"> mag maar 1 waarde op een Locatie hebben en Locaties van de </w:t>
                            </w:r>
                            <w:r w:rsidR="00705581">
                              <w:t>Norm</w:t>
                            </w:r>
                            <w:r w:rsidRPr="004E5E78">
                              <w:t xml:space="preserve"> mogen </w:t>
                            </w:r>
                            <w:r w:rsidR="00A5104A">
                              <w:t xml:space="preserve">elkaar </w:t>
                            </w:r>
                            <w:r w:rsidRPr="004E5E78">
                              <w:t>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A1C6BB" id="Tekstvak 1078474036" o:spid="_x0000_s103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Ev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A6awEvLgIAAFsEAAAOAAAAAAAAAAAAAAAAAC4CAABkcnMv&#10;ZTJvRG9jLnhtbFBLAQItABQABgAIAAAAIQCr69NA2wAAAAUBAAAPAAAAAAAAAAAAAAAAAIgEAABk&#10;cnMvZG93bnJldi54bWxQSwUGAAAAAAQABADzAAAAkAUAAAAA&#10;" filled="f" strokeweight=".5pt">
                <v:textbox style="mso-fit-shape-to-text:t">
                  <w:txbxContent>
                    <w:p w14:paraId="50D9A0EC" w14:textId="14ECDE6E" w:rsidR="00616C25" w:rsidRDefault="00616C25" w:rsidP="00616C25">
                      <w:pPr>
                        <w:rPr>
                          <w:b/>
                          <w:bCs/>
                        </w:rPr>
                      </w:pPr>
                      <w:r>
                        <w:rPr>
                          <w:b/>
                          <w:bCs/>
                        </w:rPr>
                        <w:t>Werkafspraak</w:t>
                      </w:r>
                      <w:r w:rsidR="00FD2460">
                        <w:rPr>
                          <w:b/>
                          <w:bCs/>
                        </w:rPr>
                        <w:t xml:space="preserve"> Geen overlap</w:t>
                      </w:r>
                    </w:p>
                    <w:p w14:paraId="47FF6283" w14:textId="77777777"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B732132" w14:textId="77777777" w:rsidR="00616C25" w:rsidRDefault="00616C25" w:rsidP="00616C25"/>
                    <w:p w14:paraId="333C6A9B" w14:textId="0711783D" w:rsidR="002D44BD" w:rsidRDefault="004E5E78" w:rsidP="00616C25">
                      <w:r w:rsidRPr="004E5E78">
                        <w:t xml:space="preserve">Een </w:t>
                      </w:r>
                      <w:r w:rsidR="00705581">
                        <w:t>Norm</w:t>
                      </w:r>
                      <w:r w:rsidRPr="004E5E78">
                        <w:t xml:space="preserve"> mag maar 1 waarde op een Locatie hebben en Locaties van de </w:t>
                      </w:r>
                      <w:r w:rsidR="00705581">
                        <w:t>Norm</w:t>
                      </w:r>
                      <w:r w:rsidRPr="004E5E78">
                        <w:t xml:space="preserve"> mogen </w:t>
                      </w:r>
                      <w:r w:rsidR="00A5104A">
                        <w:t xml:space="preserve">elkaar </w:t>
                      </w:r>
                      <w:r w:rsidRPr="004E5E78">
                        <w:t>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03" Type="http://schemas.openxmlformats.org/officeDocument/2006/relationships/image" Target="media/image_c25906bcb4ecfcb7dfdd26196ba445c5.png"/><Relationship Id="rId104"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