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394F16D5" w:rsidR="00E33EDD" w:rsidRPr="00F1426F" w:rsidRDefault="007B75D9" w:rsidP="002F7B04">
      <w:pPr>
        <w:pStyle w:val="Kop4"/>
      </w:pPr>
      <w:bookmarkStart w:id="594" w:name="_Ref_e497210f3fb04f3a2531441d73a24e5b_1"/>
      <w:r w:rsidRPr="00F1426F">
        <w:t>Toelichting op de norm</w:t>
      </w:r>
      <w:bookmarkEnd w:id="594"/>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590BCE40"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Het speelt geen rol bij de weergave van omgevingswaarden</w:t>
      </w:r>
      <w:r w:rsidR="00AD7E03">
        <w:t xml:space="preserve"> op de kaart</w:t>
      </w:r>
      <w:r w:rsidRPr="00F1426F">
        <w:t xml:space="preserve">.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DD12F1">
        <w:t xml:space="preserve">wordt </w:t>
      </w:r>
      <w:r w:rsidR="006C2EC2">
        <w:t>gebruik gemaakt van de waardelijst ‘Typenorm’.</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 xml:space="preserve">Er moet </w:t>
      </w:r>
      <w:r w:rsidR="005B4536" w:rsidRPr="00F1426F">
        <w:lastRenderedPageBreak/>
        <w:t>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7D159A87"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w:t>
      </w:r>
      <w:r w:rsidR="00AB5ECF">
        <w:t xml:space="preserve">wordt </w:t>
      </w:r>
      <w:r w:rsidRPr="00F1426F">
        <w:t>gebruik gemaakt van de waardelijst ‘Eenheid’.</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w:t>
      </w:r>
      <w:r w:rsidRPr="00F1426F">
        <w:lastRenderedPageBreak/>
        <w:t xml:space="preserve">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 xml:space="preserve">1 of meer Juridische regels een </w:t>
      </w:r>
      <w:commentRangeStart w:id="596"/>
      <w:r w:rsidR="003B5EB9" w:rsidRPr="00F1426F">
        <w:t>relatie</w:t>
      </w:r>
      <w:commentRangeEnd w:id="596"/>
      <w:r w:rsidR="00207F77">
        <w:rPr>
          <w:rStyle w:val="Verwijzingopmerking"/>
        </w:rPr>
        <w:commentReference w:id="596"/>
      </w:r>
      <w:r w:rsidR="003B5EB9" w:rsidRPr="00F1426F">
        <w:t>.</w:t>
      </w:r>
    </w:p>
    <w:p w14:paraId="32F77C79" w14:textId="77777777" w:rsidR="00D47A8A" w:rsidRDefault="00D47A8A" w:rsidP="005A4EFD"/>
    <w:p w14:paraId="5F2087BA" w14:textId="5C4DDD6B" w:rsidR="00F95043" w:rsidRDefault="003A7D37" w:rsidP="005A4EF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7514F20B" w14:textId="63F97319" w:rsidR="00D47A8A" w:rsidRDefault="00D47A8A" w:rsidP="00D47A8A">
      <w:pPr>
        <w:pStyle w:val="Kader"/>
      </w:pPr>
      <w:r w:rsidRPr="00B26823">
        <w:rPr>
          <w:noProof/>
        </w:rPr>
        <w:lastRenderedPageBreak/>
        <mc:AlternateContent>
          <mc:Choice Requires="wps">
            <w:drawing>
              <wp:inline distT="0" distB="0" distL="0" distR="0" wp14:anchorId="73C1671D" wp14:editId="5D9DA5FD">
                <wp:extent cx="5400040" cy="2939134"/>
                <wp:effectExtent l="0" t="0" r="22860" b="10160"/>
                <wp:docPr id="1395265769" name="Tekstvak 139526576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63BD2C0E" w14:textId="79EBAEE0" w:rsidR="00ED0A54" w:rsidRDefault="0033313F" w:rsidP="00F50025">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4DA3875C" w14:textId="6B5002B4" w:rsidR="0033313F" w:rsidRDefault="0033313F" w:rsidP="00F50025">
                            <w:pPr>
                              <w:pStyle w:val="Opsommingnummers1"/>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0F2B13">
                              <w:t>3</w:t>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1671D" id="Tekstvak 1395265769" o:spid="_x0000_s1037"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BKY89xLgIAAFsEAAAOAAAAAAAAAAAAAAAAAC4CAABkcnMv&#10;ZTJvRG9jLnhtbFBLAQItABQABgAIAAAAIQCxsAUX2wAAAAUBAAAPAAAAAAAAAAAAAAAAAIgEAABk&#10;cnMvZG93bnJldi54bWxQSwUGAAAAAAQABADzAAAAkAUAAAAA&#10;" filled="f" strokeweight=".5pt">
                <v:textbox style="mso-fit-shape-to-text:t">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63BD2C0E" w14:textId="79EBAEE0" w:rsidR="00ED0A54" w:rsidRDefault="0033313F" w:rsidP="00F50025">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4DA3875C" w14:textId="6B5002B4" w:rsidR="0033313F" w:rsidRDefault="0033313F" w:rsidP="00F50025">
                      <w:pPr>
                        <w:pStyle w:val="Opsommingnummers1"/>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0F2B13">
                        <w:t>3</w:t>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v:textbox>
                <w10:anchorlock/>
              </v:shape>
            </w:pict>
          </mc:Fallback>
        </mc:AlternateContent>
      </w:r>
    </w:p>
    <w:p w14:paraId="79D2F5B6" w14:textId="722E1F21" w:rsidR="00D47A8A" w:rsidRDefault="00D47A8A" w:rsidP="00D47A8A">
      <w:pPr>
        <w:pStyle w:val="Kader"/>
      </w:pPr>
      <w:r w:rsidRPr="00B26823">
        <w:rPr>
          <w:noProof/>
        </w:rPr>
        <w:lastRenderedPageBreak/>
        <mc:AlternateContent>
          <mc:Choice Requires="wps">
            <w:drawing>
              <wp:inline distT="0" distB="0" distL="0" distR="0" wp14:anchorId="6E6D3124" wp14:editId="6E033187">
                <wp:extent cx="5400040" cy="2939134"/>
                <wp:effectExtent l="0" t="0" r="22860" b="10160"/>
                <wp:docPr id="1647284335" name="Tekstvak 1647284335"/>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77777777" w:rsidR="001C01E7" w:rsidRDefault="001C01E7" w:rsidP="001C01E7">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33757579"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D3124" id="Tekstvak 1647284335" o:spid="_x0000_s1038"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T4qWDy8CAABbBAAADgAAAAAAAAAAAAAAAAAuAgAAZHJz&#10;L2Uyb0RvYy54bWxQSwECLQAUAAYACAAAACEAsbAFF9sAAAAFAQAADwAAAAAAAAAAAAAAAACJBAAA&#10;ZHJzL2Rvd25yZXYueG1sUEsFBgAAAAAEAAQA8wAAAJEFAAAAAA==&#10;" filled="f" strokeweight=".5pt">
                <v:textbox style="mso-fit-shape-to-text:t">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77777777" w:rsidR="001C01E7" w:rsidRDefault="001C01E7" w:rsidP="001C01E7">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33757579"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