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93552" w14:textId="77777777" w:rsidR="00205F40" w:rsidRPr="00C33ADB" w:rsidRDefault="00205F40" w:rsidP="00237CE9">
      <w:pPr>
        <w:pStyle w:val="Kop5"/>
      </w:pPr>
      <w:r w:rsidRPr="00C33ADB">
        <w:t>Onderscheid tussen sectorale en niet-sectorale Gebiedsaanwijzingtypen</w:t>
      </w:r>
    </w:p>
    <w:p w14:paraId="392F4BC1" w14:textId="77777777" w:rsidR="00205F40" w:rsidRDefault="00205F40" w:rsidP="00205F40">
      <w:r>
        <w:t xml:space="preserve">Met de sectorale Gebiedsaanwijzingtypen wordt aangegeven voor </w:t>
      </w:r>
      <w:r w:rsidRPr="00EB42BA">
        <w:t>welk aspect van de fysieke leefomgeving</w:t>
      </w:r>
      <w:r>
        <w:t xml:space="preserve"> een gebied wordt aangewezen. Ze </w:t>
      </w:r>
      <w:r w:rsidRPr="00F1426F">
        <w:t xml:space="preserve">zijn bedoeld om gebieden waarover regels respectievelijk beleidsuitspraken met een sterk </w:t>
      </w:r>
      <w:r>
        <w:t>sectoraal</w:t>
      </w:r>
      <w:r w:rsidRPr="00F1426F">
        <w:t xml:space="preserve"> karakter worden gesteld c.q. gedaan, in een viewer op een kaartbeeld weer te kunnen geven en er zoek- en selecteeracties mee te kunnen doen</w:t>
      </w:r>
      <w:r>
        <w:t>.</w:t>
      </w:r>
    </w:p>
    <w:p w14:paraId="13D28660" w14:textId="77F492B0" w:rsidR="00E95ADA" w:rsidRDefault="00205F40" w:rsidP="00205F40">
      <w:r>
        <w:t xml:space="preserve">De drie typen </w:t>
      </w:r>
      <w:r w:rsidRPr="003178E8">
        <w:t>Functie, Beperkingengebied en Ruimtelijk gebruik</w:t>
      </w:r>
      <w:r>
        <w:t xml:space="preserve"> zijn niet bedoeld om een gebied voor een </w:t>
      </w:r>
      <w:r w:rsidRPr="003178E8">
        <w:t>aspect van de fysieke leefomgeving</w:t>
      </w:r>
      <w:r>
        <w:t xml:space="preserve"> aan te wijzen, maar hebben een ander karakter.</w:t>
      </w:r>
      <w:r w:rsidRPr="00F1426F">
        <w:t xml:space="preserve"> </w:t>
      </w:r>
      <w:r>
        <w:t>De Gebiedsaanwijzing van het type Functie is bedoeld voor de situatie waarin het bevoegd gezag</w:t>
      </w:r>
      <w:r w:rsidR="00565925">
        <w:t xml:space="preserve"> er voor</w:t>
      </w:r>
      <w:r>
        <w:t xml:space="preserve"> kiest om de evenwichtige toedeling van functies aan locaties niet alleen als abstract criterium te hanteren maar om het resultaat daarvan ook (geheel of gedeeltelijk) op een kaart weer te geven, vergelijkbaar met het in het bestemmingsplan aanwijzen van de bestemming van gronden op grond van de Wet ruimtelijke ordening. Dit type kan alleen in het omgevingsplan en de omgevingsverordening toegepast worden. Het Gebiedsaanwijzingtype Beperkingengebied is specifiek bedoeld voor het aanwijzen van beperkingengebieden: gebieden waar </w:t>
      </w:r>
      <w:r w:rsidRPr="00F1426F">
        <w:t xml:space="preserve">regels gelden over activiteiten die gevolgen hebben of kunnen hebben voor </w:t>
      </w:r>
      <w:r>
        <w:t xml:space="preserve">een bepaald, in </w:t>
      </w:r>
      <w:r w:rsidRPr="00F1426F">
        <w:t xml:space="preserve">dat </w:t>
      </w:r>
      <w:r>
        <w:t xml:space="preserve">gebied aanwezig, </w:t>
      </w:r>
      <w:r w:rsidRPr="00F1426F">
        <w:t xml:space="preserve">werk of object. </w:t>
      </w:r>
      <w:r>
        <w:t xml:space="preserve">Dit type kan alleen toegepast worden in omgevingsdocumenten waarvan in de Omgevingswet is bepaald dat ze beperkingengebieden kunnen aanwijzen en/of regels over beperkingengebiedactiviteiten kunnen bevatten. </w:t>
      </w:r>
      <w:r w:rsidRPr="00F1426F">
        <w:t xml:space="preserve">Het Gebiedsaanwijzingtype Ruimtelijk gebruik is enerzijds bedoeld om provincies in staat te stellen om hun </w:t>
      </w:r>
      <w:r>
        <w:t xml:space="preserve">niet-sectorale </w:t>
      </w:r>
      <w:r w:rsidRPr="00F1426F">
        <w:t>regels in een viewer op een kaartbeeld weer te geven. Anderzijds sluit het aan bij de door de VNG ontwikkelde staalkaarten voor het omgevingsplan en stelt het gemeenten in staat om tot een ordening van (combinaties van) activiteiten te komen, als alternatief voor het werken met functies</w:t>
      </w:r>
      <w:r>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