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8F" w14:textId="77777777" w:rsidR="00205F40" w:rsidRPr="00F1426F" w:rsidRDefault="00205F40" w:rsidP="00205F40">
      <w:pPr>
        <w:pStyle w:val="Kop4"/>
      </w:pPr>
      <w:r w:rsidRPr="00F1426F">
        <w:t>Toelichting op de norm</w:t>
      </w:r>
    </w:p>
    <w:p w14:paraId="38FFA1B9" w14:textId="77777777" w:rsidR="00205F40" w:rsidRPr="00F1426F" w:rsidRDefault="00205F40" w:rsidP="00205F40">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41EC08B4" w14:textId="77777777" w:rsidR="00205F40" w:rsidRPr="00F1426F" w:rsidRDefault="00205F40" w:rsidP="00205F40">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5E057902" w14:textId="7EF8140C" w:rsidR="00205F40" w:rsidRPr="007B60F8" w:rsidRDefault="00205F40" w:rsidP="0078768C">
      <w:pPr>
        <w:pStyle w:val="Opsommingtekens1"/>
      </w:pPr>
      <w:r w:rsidRPr="00BD2C4E">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t>.</w:t>
      </w:r>
      <w:r w:rsidRPr="007B60F8">
        <w:t xml:space="preserve"> </w:t>
      </w:r>
      <w:r w:rsidR="00D00398">
        <w:t xml:space="preserve">Zie hiervoor ook de uitgebreidere toelichting in paragraaf </w:t>
      </w:r>
      <w:r w:rsidR="00C7012C">
        <w:rPr>
          <w:rStyle w:val="Verwijzing"/>
        </w:rPr>
        <w:fldChar w:fldCharType="begin"/>
      </w:r>
      <w:r w:rsidR="00C7012C">
        <w:instrText xml:space="preserve"> REF _Ref_d9c30e3b15d4e1fddbf9d5192a0cd2e9_1 \n \h </w:instrText>
      </w:r>
      <w:r w:rsidR="00C7012C">
        <w:rPr>
          <w:rStyle w:val="Verwijzing"/>
        </w:rPr>
      </w:r>
      <w:r w:rsidR="00C7012C">
        <w:rPr>
          <w:rStyle w:val="Verwijzing"/>
        </w:rPr>
        <w:fldChar w:fldCharType="separate"/>
      </w:r>
      <w:r w:rsidR="00D33EA9">
        <w:t>7.14.1.4</w:t>
      </w:r>
      <w:r w:rsidR="00C7012C">
        <w:rPr>
          <w:rStyle w:val="Verwijzing"/>
        </w:rPr>
        <w:fldChar w:fldCharType="end"/>
      </w:r>
      <w:r w:rsidR="00D00398">
        <w:t>.</w:t>
      </w:r>
    </w:p>
    <w:p w14:paraId="130037F7" w14:textId="165ED177" w:rsidR="00205F40" w:rsidRDefault="00205F40" w:rsidP="00205F40">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r w:rsidR="000221F7">
        <w:br/>
        <w:t xml:space="preserve">Uitgangspunt is </w:t>
      </w:r>
      <w:r w:rsidR="00741D49">
        <w:t xml:space="preserve">dat het objecttype Gebiedsaanwijzing wordt gebruikt voor het aanwijzen van </w:t>
      </w:r>
      <w:r w:rsidR="00E5521C">
        <w:t xml:space="preserve">gebieden. In principe verwijst de locatieaanduiding van een Gebiedsaanwijzing altijd naar </w:t>
      </w:r>
      <w:r w:rsidR="00DB5833">
        <w:t>Locaties van de verschijningsvorm Gebied of Gebiedengroep</w:t>
      </w:r>
      <w:r w:rsidR="002C76FF">
        <w:t xml:space="preserve"> (of eventueel Ambtsgebied)</w:t>
      </w:r>
      <w:r w:rsidR="00DB5833">
        <w:t xml:space="preserve">. Er zijn echter gevallen </w:t>
      </w:r>
      <w:r w:rsidR="00746D66">
        <w:t xml:space="preserve">waarin het wenselijk kan zijn om </w:t>
      </w:r>
      <w:r w:rsidR="006B612D">
        <w:t xml:space="preserve">een Gebiedsaanwijzing te gebruiken voor </w:t>
      </w:r>
      <w:r w:rsidR="00A34703">
        <w:t>het herkenbaar weergeven van lijnen</w:t>
      </w:r>
      <w:r w:rsidR="00244847">
        <w:t xml:space="preserve">. Een voorbeeld daarvan is </w:t>
      </w:r>
      <w:r w:rsidR="002D3153">
        <w:t xml:space="preserve">het gebruik van de Gebiedsaanwijzing Bouw om in het omgevingsplan rooilijnen weer te geven. </w:t>
      </w:r>
      <w:r w:rsidR="008F74FB">
        <w:t xml:space="preserve">Het gebruik van </w:t>
      </w:r>
      <w:r w:rsidR="00E62FB4">
        <w:t>het object Gebiedsaanwijzing in combinatie met punten ligt minder voor de hand, maar wordt niet uitgesloten.</w:t>
      </w:r>
    </w:p>
    <w:p w14:paraId="15222EEB" w14:textId="77777777" w:rsidR="001C38BB" w:rsidRDefault="001C38BB" w:rsidP="001C38BB"/>
    <w:p w14:paraId="4CF47444" w14:textId="17F887A4" w:rsidR="001C38BB" w:rsidRPr="00F1426F" w:rsidRDefault="003A7D37" w:rsidP="001C38B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D33EA9">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811F6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