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205F40" w:rsidRPr="00F1426F" w:rsidRDefault="00205F40" w:rsidP="00205F40">
      <w:pPr>
        <w:pStyle w:val="Kop5"/>
      </w:pPr>
      <w:r w:rsidRPr="00F1426F">
        <w:t>Bodem</w:t>
      </w:r>
    </w:p>
    <w:p w14:paraId="3E9DE1F8" w14:textId="77777777" w:rsidR="00205F40" w:rsidRPr="00F1426F" w:rsidRDefault="00205F40" w:rsidP="00205F40">
      <w:pPr>
        <w:pStyle w:val="Kop6"/>
      </w:pPr>
      <w:r w:rsidRPr="00F1426F">
        <w:t>Toelichting op de toepassing</w:t>
      </w:r>
    </w:p>
    <w:p w14:paraId="49F2C43B" w14:textId="77777777" w:rsidR="00205F40" w:rsidRPr="00F1426F" w:rsidRDefault="00205F40" w:rsidP="00205F40">
      <w:r w:rsidRPr="00F1426F">
        <w:t xml:space="preserve">De Gebiedsaanwijzing van het type Bodem wordt gebruikt voor gebieden waar specifieke regels met het oog op de bescherming van de bodemkwaliteit gelden, zoals 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205F40" w:rsidRPr="00F1426F" w:rsidRDefault="00205F40" w:rsidP="00205F40">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205F40" w:rsidRPr="00F1426F" w:rsidRDefault="00205F40" w:rsidP="00205F40">
      <w:pPr>
        <w:pStyle w:val="Kop6"/>
      </w:pPr>
      <w:r w:rsidRPr="00F1426F">
        <w:t>Definitie</w:t>
      </w:r>
    </w:p>
    <w:p w14:paraId="38C08131" w14:textId="77777777" w:rsidR="00205F40" w:rsidRPr="00F1426F" w:rsidRDefault="00205F40" w:rsidP="00205F40">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