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t>Bouw</w:t>
      </w:r>
    </w:p>
    <w:p w14:paraId="5D0807BA" w14:textId="384B48A7" w:rsidR="00DA5B54" w:rsidRDefault="00DA5B54" w:rsidP="00DA5B54">
      <w:pPr>
        <w:pStyle w:val="Kop6"/>
      </w:pPr>
      <w:r>
        <w:t>Toelichting op de toepassing</w:t>
      </w:r>
    </w:p>
    <w:p w14:paraId="5558381C" w14:textId="599DDED4" w:rsidR="00DA5B54"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 xml:space="preserve">. </w:t>
      </w:r>
      <w:r w:rsidR="006142B0" w:rsidRPr="006142B0">
        <w:t>Dit type kan ook worden toegepast in een tijdelijk regelingdeel dat wordt ingesteld door een voorbereidingsbesluit op grond van artikel 4.14 of 4.16 Ow dat voorbeschermingsregels toevoegt aan het omgevingsplan, of door een projectbesluit.</w:t>
      </w:r>
    </w:p>
    <w:p w14:paraId="7DB2E14C" w14:textId="3C701E19"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 xml:space="preserve">om daarmee het soort </w:t>
      </w:r>
      <w:r w:rsidR="00F97C36" w:rsidRPr="00F97C36">
        <w:lastRenderedPageBreak/>
        <w:t>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749D516C"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00742747" w:rsidRPr="00742747">
        <w:t xml:space="preserve">of in een tijdelijk regelingdeel dat onderdeel is van de geconsolideerde regeling van het omgevingsplan </w:t>
      </w:r>
      <w:r w:rsidRPr="00C45DA7">
        <w:t xml:space="preserve">en de bijbehorende Locatie(s) </w:t>
      </w:r>
      <w:r w:rsidR="009739CF">
        <w:t xml:space="preserve">gericht zijn op het reguleren van de </w:t>
      </w:r>
      <w:r w:rsidR="00B42B96" w:rsidRPr="00B42B96">
        <w:t>situering van bouwwerken.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