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031" w14:textId="77777777" w:rsidR="00205F40" w:rsidRPr="00F1426F" w:rsidRDefault="00205F40" w:rsidP="00205F40">
      <w:pPr>
        <w:pStyle w:val="Kop5"/>
      </w:pPr>
      <w:r w:rsidRPr="00F1426F">
        <w:t>Energievoorziening</w:t>
      </w:r>
    </w:p>
    <w:p w14:paraId="3339CF2B" w14:textId="77777777" w:rsidR="00205F40" w:rsidRPr="00F1426F" w:rsidRDefault="00205F40" w:rsidP="00205F40">
      <w:pPr>
        <w:pStyle w:val="Kop6"/>
      </w:pPr>
      <w:r w:rsidRPr="00F1426F">
        <w:t>Toelichting op de toepassing</w:t>
      </w:r>
    </w:p>
    <w:p w14:paraId="4BCD7684" w14:textId="77777777" w:rsidR="00205F40" w:rsidRPr="00F1426F" w:rsidRDefault="00205F40" w:rsidP="00205F40">
      <w:r w:rsidRPr="00F1426F">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4489440" w14:textId="77777777" w:rsidR="00205F40" w:rsidRPr="00F1426F" w:rsidRDefault="00205F40" w:rsidP="00205F40">
      <w:r w:rsidRPr="00F1426F">
        <w:t xml:space="preserve">Provincies zullen de Gebiedsaanwijzing Energievoorziening onder andere gebruiken voor gebieden voor bodemenergie, windturbines, zonne-energie en duurzame energie. </w:t>
      </w:r>
      <w:r w:rsidRPr="0049679E">
        <w:t xml:space="preserve">Ook gemeenten zullen in omgevingsplan, omgevingsvisie en andere beleidsmatige instrumenten beleid en regels over de energievoorziening opnemen. Voor de beleidsmatige instrumenten kunnen zij gebruik maken van de Gebiedsaanwijzing van het type </w:t>
      </w:r>
      <w:r>
        <w:t>Energievoorziening</w:t>
      </w:r>
      <w:r w:rsidRPr="0049679E">
        <w:t>. Voor het omgevingsplan is het uitgangspunt dat zij bij voorkeur gebruik maken van de Gebiedsaanwijzing van het type Functie</w:t>
      </w:r>
      <w:r w:rsidRPr="000B37CB">
        <w:t xml:space="preserve"> (en daarvan de relevante groep kiezen)</w:t>
      </w:r>
      <w:r w:rsidRPr="0049679E">
        <w:t>.</w:t>
      </w:r>
    </w:p>
    <w:p w14:paraId="0F6C1D1E" w14:textId="77777777" w:rsidR="00205F40" w:rsidRPr="00F1426F" w:rsidRDefault="00205F40" w:rsidP="00205F40">
      <w:pPr>
        <w:pStyle w:val="Kop6"/>
      </w:pPr>
      <w:r w:rsidRPr="00F1426F">
        <w:t>Definitie</w:t>
      </w:r>
    </w:p>
    <w:p w14:paraId="41A5AE69" w14:textId="77777777" w:rsidR="00205F40" w:rsidRPr="00F1426F" w:rsidRDefault="00205F40" w:rsidP="00205F40">
      <w:r w:rsidRPr="005744E0">
        <w:t xml:space="preserve">De Gebiedsaanwijzing van het type </w:t>
      </w:r>
      <w:r w:rsidRPr="00F1426F">
        <w:t xml:space="preserve">Energievoorziening is het objecttype dat machineleesbaar maakt dat een Juridische regel of een Tekstdeel en de bijbehorende Locatie(s) een gebied </w:t>
      </w:r>
      <w:r w:rsidRPr="00F1426F">
        <w:lastRenderedPageBreak/>
        <w:t>aanwijzen waar de regels of het beleid gericht zijn op de bescherming en bevordering van de energievoorziening.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