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bookmarkStart w:id="648" w:name="_Ref_5f4b409c2ceca047af4c3fc02442bb67_1"/>
      <w:r w:rsidRPr="007F28B9">
        <w:lastRenderedPageBreak/>
        <w:t>Geluid</w:t>
      </w:r>
      <w:bookmarkEnd w:id="648"/>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0C646E95" w:rsidR="00205F40" w:rsidRPr="007F28B9" w:rsidRDefault="00205F40" w:rsidP="00205F40">
      <w:r w:rsidRPr="006819E7">
        <w:t xml:space="preserve">Provincies zullen de Gebiedsaanwijzing van het type Geluid vooral gebruiken voor </w:t>
      </w:r>
      <w:r w:rsidR="00BF5012">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002B0BFC" w:rsidRPr="002B0BFC">
        <w:t>aanwijzen van stille gebieden</w:t>
      </w:r>
      <w:r w:rsidRPr="006819E7">
        <w:t xml:space="preserve">. </w:t>
      </w:r>
      <w:r w:rsidR="0030285D" w:rsidRPr="0030285D">
        <w:t xml:space="preserve">Wanneer alle bestuurslagen voor het reguleren van stilte- en stille gebieden gebruik maken van de Gebiedsaanwijzing Geluid en de groep ‘stiltegebied’ </w:t>
      </w:r>
      <w:r w:rsidR="0030285D">
        <w:t xml:space="preserve">kan </w:t>
      </w:r>
      <w:r w:rsidR="0030285D" w:rsidRPr="0030285D">
        <w:t>dat de vindbaarheid van stilte- en stille gebieden</w:t>
      </w:r>
      <w:r w:rsidR="0030285D">
        <w:t xml:space="preserve"> bevorderen</w:t>
      </w:r>
      <w:r w:rsidR="0030285D" w:rsidRPr="0030285D">
        <w:t>.</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