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t>Verkeer</w:t>
      </w:r>
    </w:p>
    <w:p w14:paraId="2E990315" w14:textId="77777777" w:rsidR="00205F40" w:rsidRPr="007F28B9" w:rsidRDefault="00205F40" w:rsidP="00205F40">
      <w:pPr>
        <w:pStyle w:val="Kop6"/>
      </w:pPr>
      <w:r w:rsidRPr="007F28B9">
        <w:t>Toelichting op de toepassing</w:t>
      </w:r>
    </w:p>
    <w:p w14:paraId="3F18144C" w14:textId="3B199782" w:rsidR="00205F40" w:rsidRPr="007F28B9" w:rsidRDefault="00205F40" w:rsidP="00205F40">
      <w:r w:rsidRPr="007F28B9">
        <w:t xml:space="preserve">De Gebiedsaanwijzing van het type Verkeer wordt gebruikt voor gebieden waar mobiliteit een belangrijk aspect is. Het kan </w:t>
      </w:r>
      <w:r w:rsidR="00F609FF" w:rsidRPr="007F28B9">
        <w:t>hierbij</w:t>
      </w:r>
      <w:r w:rsidRPr="007F28B9">
        <w:t xml:space="preserve">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