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bookmarkStart w:id="680" w:name="_Ref_9928a85a2d736c012f0e697a290f6152_1"/>
      <w:bookmarkStart w:id="681" w:name="_Ref_9928a85a2d736c012f0e697a290f6152_2"/>
      <w:r w:rsidRPr="00F03DD9">
        <w:t>Toelichting op de norm</w:t>
      </w:r>
      <w:bookmarkEnd w:id="680"/>
      <w:bookmarkEnd w:id="681"/>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046669" w:rsidRDefault="00046669" w:rsidP="00046669">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w:t>
      </w:r>
      <w:r w:rsidR="00FA44F2"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54398A54" w14:textId="705455DF" w:rsidR="00FC58F8" w:rsidRPr="00F03DD9" w:rsidRDefault="00702B4C" w:rsidP="00FC58F8">
      <w:pPr>
        <w:pStyle w:val="Kader"/>
      </w:pPr>
      <w:r w:rsidRPr="00B26823">
        <w:rPr>
          <w:noProof/>
        </w:rPr>
        <mc:AlternateContent>
          <mc:Choice Requires="wps">
            <w:drawing>
              <wp:inline distT="0" distB="0" distL="0" distR="0" wp14:anchorId="6E6F49F7" wp14:editId="5A887BE3">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2F72A1FE" w14:textId="24132208" w:rsidR="00C235A5"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niet wordt toegepast.</w:t>
                            </w:r>
                          </w:p>
                          <w:p w14:paraId="264E13BC" w14:textId="5BBD6A7C"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E6F49F7" id="Tekstvak 449772429" o:spid="_x0000_s1044"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BD6M9EwAgAAWwQAAA4AAAAAAAAAAAAAAAAALgIAAGRy&#10;cy9lMm9Eb2MueG1sUEsBAi0AFAAGAAgAAAAhALGwBRfbAAAABQEAAA8AAAAAAAAAAAAAAAAAigQA&#10;AGRycy9kb3ducmV2LnhtbFBLBQYAAAAABAAEAPMAAACSBQAAAAA=&#10;" filled="f" strokeweight=".5pt">
                <v:textbox style="mso-fit-shape-to-text:t">
                  <w:txbxContent>
                    <w:p w14:paraId="469C1DB1" w14:textId="371AFD57" w:rsidR="00702B4C" w:rsidRPr="00694434" w:rsidRDefault="00A5644F" w:rsidP="00702B4C">
                      <w:pPr>
                        <w:rPr>
                          <w:b/>
                          <w:bCs/>
                        </w:rPr>
                      </w:pPr>
                      <w:r>
                        <w:rPr>
                          <w:b/>
                          <w:bCs/>
                        </w:rPr>
                        <w:t>Toelichting op werkafspraak</w:t>
                      </w:r>
                    </w:p>
                    <w:p w14:paraId="4151290E" w14:textId="3695DF19" w:rsidR="00523452" w:rsidRDefault="00523452" w:rsidP="00702B4C">
                      <w:r>
                        <w:t>Geconstateerd is dat het objecttype SymbolisatieItem niet g</w:t>
                      </w:r>
                      <w:r w:rsidR="005C7A16">
                        <w:t xml:space="preserve">oed gemodelleerd is. </w:t>
                      </w:r>
                      <w:r w:rsidR="008B5CC5">
                        <w:t>Het heeft geen identificatie w</w:t>
                      </w:r>
                      <w:r w:rsidR="005C7A16">
                        <w:t xml:space="preserve">aardoor </w:t>
                      </w:r>
                      <w:r w:rsidR="00FE5564">
                        <w:t xml:space="preserve">het </w:t>
                      </w:r>
                      <w:r w:rsidR="00FE5564" w:rsidRPr="00FE5564">
                        <w:t xml:space="preserve">niet </w:t>
                      </w:r>
                      <w:r w:rsidR="00FE5564">
                        <w:t xml:space="preserve">op </w:t>
                      </w:r>
                      <w:r w:rsidR="00FE5564" w:rsidRPr="00FE5564">
                        <w:t xml:space="preserve">de gebruikelijke wijze gewijzigd </w:t>
                      </w:r>
                      <w:r w:rsidR="008B5CC5" w:rsidRPr="008B5CC5">
                        <w:t xml:space="preserve">kan </w:t>
                      </w:r>
                      <w:r w:rsidR="00FE5564" w:rsidRPr="00FE5564">
                        <w:t>worden</w:t>
                      </w:r>
                      <w:r w:rsidR="00713CE6">
                        <w:t xml:space="preserve">. </w:t>
                      </w:r>
                      <w:r w:rsidR="008B5CC5" w:rsidRPr="008B5CC5">
                        <w:t>Het is mogelijk om meer dan 1 SymbolisatieItem aan een object te koppelen. In dat geval is niet gedefinieerd welke symbolisatie gebruikt moet worden voor de weergave van het object.</w:t>
                      </w:r>
                      <w:r w:rsidR="00797BC8">
                        <w:t xml:space="preserve"> Bovendien is de </w:t>
                      </w:r>
                      <w:r w:rsidR="00797BC8" w:rsidRPr="00797BC8">
                        <w:t xml:space="preserve">methode van symbolisatie van OW-objecten conceptueel anders dan de symbolisatie van GIO’s waardoor symbolisatie twee keer </w:t>
                      </w:r>
                      <w:r w:rsidR="00797BC8">
                        <w:t xml:space="preserve">én </w:t>
                      </w:r>
                      <w:r w:rsidR="00797BC8" w:rsidRPr="00797BC8">
                        <w:t>net anders moet worden uitgewisseld.</w:t>
                      </w:r>
                    </w:p>
                    <w:p w14:paraId="2F72A1FE" w14:textId="24132208" w:rsidR="00C235A5" w:rsidRDefault="00D76451" w:rsidP="00702B4C">
                      <w:r>
                        <w:t xml:space="preserve">Er wordt een verbeterde methode voor de eigen symbolisatie ontwikkeld. Om te voorkomen dat </w:t>
                      </w:r>
                      <w:r w:rsidR="00227870">
                        <w:t xml:space="preserve">als dat gereed is, </w:t>
                      </w:r>
                      <w:r w:rsidR="00BF2090">
                        <w:t>alle omgevingsdocumenten waarin SymbolisatieItem is gebruikt</w:t>
                      </w:r>
                      <w:r w:rsidR="00195CA1">
                        <w:t xml:space="preserve"> moeten worden aangepast of gemigreerd, ook als er geen inhoudelijke reden is om het omgevingsdocument nog te wijzigen, </w:t>
                      </w:r>
                      <w:r w:rsidR="00E64B25">
                        <w:t xml:space="preserve">is het wenselijk dat het objecttype </w:t>
                      </w:r>
                      <w:r w:rsidR="00E64B25" w:rsidRPr="00E64B25">
                        <w:t xml:space="preserve">SymbolisatieItem </w:t>
                      </w:r>
                      <w:r w:rsidR="00E75CBF">
                        <w:t>niet wordt toegepast.</w:t>
                      </w:r>
                    </w:p>
                    <w:p w14:paraId="264E13BC" w14:textId="5BBD6A7C" w:rsidR="00702B4C" w:rsidRPr="00C352EA" w:rsidRDefault="00E75CBF" w:rsidP="00E75CBF">
                      <w:r w:rsidRPr="00E75CBF">
                        <w:t>Daarom geldt, totdat in een volgende versie van dit toepassingsprofiel dan wel in een nader bericht van de beheerder van de TPOD-Standaard anders is bepaald, de werkafspraak ‘</w:t>
                      </w:r>
                      <w:r w:rsidR="00E64B25" w:rsidRPr="00E64B25">
                        <w:t>Gebruik het objecttype SymbolisatieItem niet</w:t>
                      </w:r>
                      <w:r>
                        <w:t>’</w:t>
                      </w:r>
                      <w:r w:rsidR="00E64B25" w:rsidRPr="00E64B25">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