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85C9" w14:textId="77777777" w:rsidR="00046669" w:rsidRPr="007F28B9" w:rsidRDefault="00046669" w:rsidP="00046669">
      <w:pPr>
        <w:pStyle w:val="Kop4"/>
      </w:pPr>
      <w:r w:rsidRPr="007F28B9">
        <w:t>Toelichting op de norm</w:t>
      </w:r>
    </w:p>
    <w:p w14:paraId="09796609" w14:textId="716BEE64" w:rsidR="00046669" w:rsidRPr="007F28B9" w:rsidRDefault="00046669" w:rsidP="00046669">
      <w:r w:rsidRPr="007F28B9">
        <w:rPr>
          <w:i/>
        </w:rPr>
        <w:t>locatieaanduiding</w:t>
      </w:r>
      <w:r w:rsidRPr="007F28B9">
        <w:t xml:space="preserve">: het attribuut dat de verwijzing bevat naar de identificatie van de specifieke Locatie die bij deze Pons hoort én aangeeft wat de betekenis van Locatie is voor het object waar het bij hoort; in dit geval voor Pons. Dit attribuut legt dus vast dat deze Locatie de locatie is waar de Pons van toepassing is. Voor Pons bevat Locatie de geometrie(ën) van </w:t>
      </w:r>
      <w:r w:rsidR="007A61E2">
        <w:t xml:space="preserve">de </w:t>
      </w:r>
      <w:r w:rsidR="004E7026">
        <w:t xml:space="preserve">ruimtelijke plannen </w:t>
      </w:r>
      <w:r w:rsidR="00800A2D">
        <w:t xml:space="preserve">c.q. </w:t>
      </w:r>
      <w:r w:rsidRPr="007F28B9">
        <w:t xml:space="preserve">de delen van </w:t>
      </w:r>
      <w:r w:rsidR="004E7026" w:rsidRPr="004E7026">
        <w:t xml:space="preserve">ruimtelijke </w:t>
      </w:r>
      <w:r w:rsidRPr="007F28B9">
        <w:t>plan</w:t>
      </w:r>
      <w:r w:rsidR="00800A2D">
        <w:t>nen</w:t>
      </w:r>
      <w:r w:rsidRPr="007F28B9">
        <w:t xml:space="preserve"> waarvoor alle bestemmingen, aanduidingen en regels zijn vervallen door het in werking treden van het besluit tot wijziging van het omgevingsplan.</w:t>
      </w:r>
    </w:p>
    <w:p w14:paraId="114C1DF8" w14:textId="77777777" w:rsidR="00046669" w:rsidRPr="007F28B9" w:rsidRDefault="00046669" w:rsidP="00046669"/>
    <w:p w14:paraId="5094BD96" w14:textId="32CD4639" w:rsidR="00D47BBA" w:rsidRPr="007F28B9" w:rsidRDefault="007C52F4" w:rsidP="00046669">
      <w:r>
        <w:t xml:space="preserve">Zoals in paragraaf </w:t>
      </w:r>
      <w:r>
        <w:fldChar w:fldCharType="begin"/>
      </w:r>
      <w:r>
        <w:instrText xml:space="preserve"> REF _Ref_fc8f18be83cded9d359ec19c3c8f8b07_1 \r \h </w:instrText>
      </w:r>
      <w:r>
        <w:fldChar w:fldCharType="separate"/>
      </w:r>
      <w:r w:rsidR="00D33EA9">
        <w:t>7.19.1</w:t>
      </w:r>
      <w:r>
        <w:fldChar w:fldCharType="end"/>
      </w:r>
      <w:r>
        <w:t xml:space="preserve"> al is aangegeven </w:t>
      </w:r>
      <w:r w:rsidR="0041564A">
        <w:t xml:space="preserve">wordt het Pons-GIO, en dus ook de Locatie behorend bij het OW-object Pons, in de loop van de tijd gemuteerd. </w:t>
      </w:r>
      <w:r w:rsidR="00292E9C">
        <w:t xml:space="preserve">Uiteindelijk, wanneer alle </w:t>
      </w:r>
      <w:r w:rsidR="00F10298">
        <w:t xml:space="preserve">ruimtelijke plannen </w:t>
      </w:r>
      <w:r w:rsidR="00292E9C">
        <w:t xml:space="preserve">zijn vervallen </w:t>
      </w:r>
      <w:r w:rsidR="00533B5B">
        <w:t xml:space="preserve">en vervangen </w:t>
      </w:r>
      <w:r w:rsidR="00292E9C">
        <w:t xml:space="preserve">door </w:t>
      </w:r>
      <w:r w:rsidR="00533B5B">
        <w:t>het omgevingsplan, kan de Pons worden ingetrokken respectievelijk beëindigd.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