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742" w:name="_Ref_b2757cc977c8f116d95bfe7298e90606_1"/>
      <w:r>
        <w:t>W</w:t>
      </w:r>
      <w:r w:rsidRPr="00765842">
        <w:t xml:space="preserve">ijzigingsmethode </w:t>
      </w:r>
      <w:r w:rsidR="004D3D82">
        <w:t>r</w:t>
      </w:r>
      <w:r w:rsidR="00834B9C">
        <w:t>envooi</w:t>
      </w:r>
      <w:bookmarkEnd w:id="742"/>
    </w:p>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50663ACE" w14:textId="306BC957" w:rsidR="00E707E0"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renvooiservice) het </w:t>
      </w:r>
      <w:r w:rsidR="001D2CF8" w:rsidRPr="001D2CF8">
        <w:t xml:space="preserve">ontwerp- of definitieve </w:t>
      </w:r>
      <w:r w:rsidR="007B4547">
        <w:t>wijzigingsbesluit</w:t>
      </w:r>
      <w:r w:rsidR="00311797">
        <w:t>, waarin de wijzigingen met renvooimarkeringen zijn aangegeven</w:t>
      </w:r>
      <w:r w:rsidR="007B4547">
        <w:t xml:space="preserve">. </w:t>
      </w:r>
    </w:p>
    <w:p w14:paraId="69231DE1" w14:textId="77777777" w:rsidR="00F1512A" w:rsidRDefault="00F1512A" w:rsidP="00DA161C"/>
    <w:p w14:paraId="1339AD10" w14:textId="18403AA9" w:rsidR="00A22699" w:rsidRDefault="00CA0DB5" w:rsidP="00DA161C">
      <w:r>
        <w:lastRenderedPageBreak/>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6D580F6F" w14:textId="60440C28" w:rsidR="009B4933" w:rsidRDefault="003C187C" w:rsidP="00BA457E">
      <w:r>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 xml:space="preserve">opgenomen met daarin achtereenvolgens alle wijzigingen. </w:t>
      </w:r>
    </w:p>
    <w:p w14:paraId="49A10C4A" w14:textId="77777777"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4F4F63">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4F4F63">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395C22FD" w:rsidR="00C60009" w:rsidRDefault="00A71B6D" w:rsidP="00834B9C">
      <w:r>
        <w:fldChar w:fldCharType="begin"/>
      </w:r>
      <w:r>
        <w:instrText xml:space="preserve"> REF _Ref_b2757cc977c8f116d95bfe7298e90606_2 \n \h </w:instrText>
      </w:r>
      <w:r>
        <w:fldChar w:fldCharType="separate"/>
      </w:r>
      <w:r w:rsidR="002D10A5">
        <w:t>Figuur 89</w:t>
      </w:r>
      <w:r>
        <w:fldChar w:fldCharType="end"/>
      </w:r>
      <w:r>
        <w:t xml:space="preserve"> en </w:t>
      </w:r>
      <w:r>
        <w:fldChar w:fldCharType="begin"/>
      </w:r>
      <w:r>
        <w:instrText xml:space="preserve"> REF _Ref_b2757cc977c8f116d95bfe7298e90606_3 \n \h </w:instrText>
      </w:r>
      <w:r>
        <w:fldChar w:fldCharType="separate"/>
      </w:r>
      <w:r w:rsidR="002D10A5">
        <w:t>Figuur 90</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_Ref_b2757cc977c8f116d95bfe7298e90606_2 \n \h </w:instrText>
      </w:r>
      <w:r w:rsidR="00B47AF5">
        <w:fldChar w:fldCharType="separate"/>
      </w:r>
      <w:r w:rsidR="002D10A5">
        <w:t>Figuur 89</w:t>
      </w:r>
      <w:r w:rsidR="00B47AF5">
        <w:fldChar w:fldCharType="end"/>
      </w:r>
      <w:r w:rsidR="00B47AF5">
        <w:t xml:space="preserve"> </w:t>
      </w:r>
      <w:r w:rsidR="0030004C">
        <w:t xml:space="preserve">staat links </w:t>
      </w:r>
      <w:r w:rsidR="00A05D64">
        <w:t xml:space="preserve">de tekst van </w:t>
      </w:r>
      <w:r w:rsidR="0030004C">
        <w:t>artikel 5.7 in de oude versie van de regeling, oftewel de ‘was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_Ref_b2757cc977c8f116d95bfe7298e90606_3 \n \h </w:instrText>
      </w:r>
      <w:r w:rsidR="00B47AF5">
        <w:fldChar w:fldCharType="separate"/>
      </w:r>
      <w:r w:rsidR="002D10A5">
        <w:t>Figuur 90</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lastRenderedPageBreak/>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4F4F63">
      <w:pPr>
        <w:pStyle w:val="Figuurbijschrift"/>
      </w:pPr>
      <w:bookmarkStart w:id="744" w:name="_Ref_b2757cc977c8f116d95bfe7298e90606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744"/>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4F4F63">
      <w:pPr>
        <w:pStyle w:val="Figuurbijschrift"/>
      </w:pPr>
      <w:bookmarkStart w:id="745" w:name="_Ref_b2757cc977c8f116d95bfe7298e90606_3"/>
      <w:r>
        <w:t xml:space="preserve">Wijzigingsbesluit met </w:t>
      </w:r>
      <w:r w:rsidR="00AD6265">
        <w:t xml:space="preserve">mensleesbare </w:t>
      </w:r>
      <w:r>
        <w:t>renvooiweergave van verwijderde en nieuwe tekst</w:t>
      </w:r>
      <w:bookmarkEnd w:id="745"/>
    </w:p>
    <w:p w14:paraId="79C38527" w14:textId="1EB72505" w:rsidR="006253BA" w:rsidRDefault="006253BA" w:rsidP="009A5678">
      <w:r>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_Ref_b2757cc977c8f116d95bfe7298e90606_3 \n \h </w:instrText>
      </w:r>
      <w:r w:rsidR="00E747E9">
        <w:fldChar w:fldCharType="separate"/>
      </w:r>
      <w:r w:rsidR="002D10A5">
        <w:t>Figuur 90</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28" Type="http://schemas.openxmlformats.org/officeDocument/2006/relationships/image" Target="media/image_93c8fad70c7d5062c8d27b3c96428475.png"/><Relationship Id="rId129"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