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DFFB" w14:textId="05BB659E" w:rsidR="00A92620" w:rsidRDefault="00A92620" w:rsidP="00A92620">
      <w:pPr>
        <w:pStyle w:val="Kop3"/>
      </w:pPr>
      <w:bookmarkStart w:id="746" w:name="_Ref_128b912b00316122fdb3b0dba97bf1a9_1"/>
      <w:r w:rsidRPr="00A92620">
        <w:lastRenderedPageBreak/>
        <w:t>Wijzigen van GIO</w:t>
      </w:r>
      <w:r w:rsidR="000D60E7">
        <w:t>’</w:t>
      </w:r>
      <w:r w:rsidRPr="00A92620">
        <w:t>s</w:t>
      </w:r>
      <w:bookmarkEnd w:id="746"/>
    </w:p>
    <w:p w14:paraId="658A685C" w14:textId="15386EF1" w:rsidR="003B3ACA" w:rsidRPr="000A268A" w:rsidRDefault="0036169D" w:rsidP="008A09EF">
      <w:r w:rsidRPr="004F4F63">
        <w:t xml:space="preserve">Op grond van </w:t>
      </w:r>
      <w:r w:rsidRPr="000A268A">
        <w:t xml:space="preserve">artikel 7, </w:t>
      </w:r>
      <w:r w:rsidR="00804E0D" w:rsidRPr="000A268A">
        <w:t xml:space="preserve">eerste </w:t>
      </w:r>
      <w:r w:rsidRPr="000A268A">
        <w:t>lid, Bekendmakingswet</w:t>
      </w:r>
      <w:r w:rsidR="00804E0D" w:rsidRPr="000A268A">
        <w:t xml:space="preserve"> bestaat een </w:t>
      </w:r>
      <w:r w:rsidR="00165ADB" w:rsidRPr="000A268A">
        <w:t xml:space="preserve">regeling </w:t>
      </w:r>
      <w:r w:rsidR="00804E0D" w:rsidRPr="000A268A">
        <w:t xml:space="preserve">uit tekst en </w:t>
      </w:r>
      <w:r w:rsidR="00BE3AA6" w:rsidRPr="000A268A">
        <w:t>kan een regeling tevens informatie bevatten die niet uit tekst bestaat.</w:t>
      </w:r>
      <w:r w:rsidR="00291C90" w:rsidRPr="000A268A">
        <w:t xml:space="preserve"> Een GIO is zo</w:t>
      </w:r>
      <w:r w:rsidR="000D60E7">
        <w:t>’</w:t>
      </w:r>
      <w:r w:rsidR="00291C90" w:rsidRPr="000A268A">
        <w:t xml:space="preserve">n onderdeel dat uit andere informatie bestaat. </w:t>
      </w:r>
      <w:r w:rsidR="003C26D2" w:rsidRPr="000A268A">
        <w:t xml:space="preserve">In </w:t>
      </w:r>
      <w:r w:rsidR="00291C90" w:rsidRPr="004F4F63">
        <w:t xml:space="preserve">het </w:t>
      </w:r>
      <w:r w:rsidR="00815803" w:rsidRPr="004F4F63">
        <w:t>derde lid</w:t>
      </w:r>
      <w:r w:rsidR="00291C90" w:rsidRPr="004F4F63">
        <w:t xml:space="preserve"> van dit </w:t>
      </w:r>
      <w:r w:rsidR="00291C90" w:rsidRPr="000A268A">
        <w:t>artikel</w:t>
      </w:r>
      <w:r w:rsidR="003C26D2" w:rsidRPr="000A268A">
        <w:t xml:space="preserve"> is </w:t>
      </w:r>
      <w:r w:rsidR="00945FF2" w:rsidRPr="000A268A">
        <w:t xml:space="preserve">nu </w:t>
      </w:r>
      <w:r w:rsidR="003C26D2" w:rsidRPr="000A268A">
        <w:t xml:space="preserve">bepaald </w:t>
      </w:r>
      <w:r w:rsidR="00282E2A" w:rsidRPr="000A268A">
        <w:t>dat</w:t>
      </w:r>
      <w:r w:rsidR="008F4761" w:rsidRPr="000A268A">
        <w:t xml:space="preserve"> bij wijziging </w:t>
      </w:r>
      <w:r w:rsidR="00B97A29" w:rsidRPr="000A268A">
        <w:t>van een onderdeel van een regeling dat niet uit tekst maar uit andere informatie bestaat</w:t>
      </w:r>
      <w:r w:rsidR="007C346A" w:rsidRPr="000A268A">
        <w:t xml:space="preserve"> of van een bijlage bij die regeling</w:t>
      </w:r>
      <w:r w:rsidR="0026615A" w:rsidRPr="000A268A">
        <w:t xml:space="preserve"> die wegens aard of omvang niet in het publicatieblad maar elders elektronisch </w:t>
      </w:r>
      <w:r w:rsidR="009E3B51" w:rsidRPr="000A268A">
        <w:t>is</w:t>
      </w:r>
      <w:r w:rsidR="0026615A" w:rsidRPr="000A268A">
        <w:t xml:space="preserve"> gepubliceerd</w:t>
      </w:r>
      <w:r w:rsidR="009E3B51" w:rsidRPr="000A268A">
        <w:t xml:space="preserve">, die informatie of die bijlage </w:t>
      </w:r>
      <w:r w:rsidR="00BD51E5" w:rsidRPr="000A268A">
        <w:t xml:space="preserve">opnieuw wordt vastgesteld. </w:t>
      </w:r>
      <w:r w:rsidR="0087389E" w:rsidRPr="000A268A">
        <w:t xml:space="preserve">Er is een wijziging van </w:t>
      </w:r>
      <w:r w:rsidR="00303698" w:rsidRPr="000A268A">
        <w:t xml:space="preserve">lid 3 van artikel 7 </w:t>
      </w:r>
      <w:r w:rsidR="0087389E" w:rsidRPr="000A268A">
        <w:t xml:space="preserve">in voorbereiding waardoor </w:t>
      </w:r>
      <w:r w:rsidR="00303698" w:rsidRPr="000A268A">
        <w:t xml:space="preserve">deze bepaling alleen nog geldt </w:t>
      </w:r>
      <w:r w:rsidR="002E3279" w:rsidRPr="000A268A">
        <w:t xml:space="preserve">voor </w:t>
      </w:r>
      <w:r w:rsidR="0087389E" w:rsidRPr="000A268A">
        <w:t>onderdel</w:t>
      </w:r>
      <w:r w:rsidR="004D7015" w:rsidRPr="000A268A">
        <w:t>en</w:t>
      </w:r>
      <w:r w:rsidR="0087389E" w:rsidRPr="000A268A">
        <w:t xml:space="preserve"> van een regeling d</w:t>
      </w:r>
      <w:r w:rsidR="004D7015" w:rsidRPr="000A268A">
        <w:t>ie</w:t>
      </w:r>
      <w:r w:rsidR="0087389E" w:rsidRPr="000A268A">
        <w:t xml:space="preserve"> uit andere informatie dan tekst bestaat</w:t>
      </w:r>
      <w:r w:rsidR="00C26DD9" w:rsidRPr="000A268A">
        <w:t xml:space="preserve"> </w:t>
      </w:r>
      <w:r w:rsidR="004D7015" w:rsidRPr="000A268A">
        <w:t xml:space="preserve">(en voor bijlagen) die niet </w:t>
      </w:r>
      <w:r w:rsidR="00C26DD9" w:rsidRPr="000A268A">
        <w:t xml:space="preserve">geconsolideerd </w:t>
      </w:r>
      <w:r w:rsidR="004D7015" w:rsidRPr="000A268A">
        <w:t xml:space="preserve">kunnen </w:t>
      </w:r>
      <w:r w:rsidR="00C26DD9" w:rsidRPr="000A268A">
        <w:t>worden</w:t>
      </w:r>
      <w:r w:rsidR="004D7015" w:rsidRPr="000A268A">
        <w:t xml:space="preserve">. </w:t>
      </w:r>
      <w:r w:rsidR="00973F76" w:rsidRPr="000A268A">
        <w:t xml:space="preserve">Een GIO is een onderdeel dat geconsolideerd kan worden. </w:t>
      </w:r>
      <w:r w:rsidR="0085257C" w:rsidRPr="000A268A">
        <w:t xml:space="preserve">Daardoor hoeft, na inwerkingtreden van deze wijziging van de Bekendmakingswet, </w:t>
      </w:r>
      <w:r w:rsidR="004B62BE" w:rsidRPr="000A268A">
        <w:t xml:space="preserve">bij wijziging </w:t>
      </w:r>
      <w:r w:rsidR="00D129E9" w:rsidRPr="000A268A">
        <w:t xml:space="preserve">een GIO </w:t>
      </w:r>
      <w:r w:rsidR="004B62BE" w:rsidRPr="000A268A">
        <w:t xml:space="preserve">niet opnieuw vastgesteld </w:t>
      </w:r>
      <w:r w:rsidR="00D129E9" w:rsidRPr="000A268A">
        <w:t xml:space="preserve">te </w:t>
      </w:r>
      <w:r w:rsidR="004B62BE" w:rsidRPr="000A268A">
        <w:t>word</w:t>
      </w:r>
      <w:r w:rsidR="00D129E9" w:rsidRPr="000A268A">
        <w:t>en</w:t>
      </w:r>
      <w:r w:rsidR="004B62BE" w:rsidRPr="000A268A">
        <w:t xml:space="preserve"> maar </w:t>
      </w:r>
      <w:r w:rsidR="002E0F39" w:rsidRPr="000A268A">
        <w:t xml:space="preserve">kan het </w:t>
      </w:r>
      <w:r w:rsidR="004B62BE" w:rsidRPr="000A268A">
        <w:t>gewijzigd</w:t>
      </w:r>
      <w:r w:rsidR="004E2CB3" w:rsidRPr="000A268A">
        <w:t xml:space="preserve"> kan worden.</w:t>
      </w:r>
    </w:p>
    <w:p w14:paraId="70297D4F" w14:textId="51703059" w:rsidR="002F1920" w:rsidRDefault="00B95D01" w:rsidP="000A268A">
      <w:r w:rsidRPr="000A268A">
        <w:t xml:space="preserve">Om </w:t>
      </w:r>
      <w:r w:rsidR="00F315A4" w:rsidRPr="004F4F63">
        <w:t>technische</w:t>
      </w:r>
      <w:r w:rsidRPr="000A268A">
        <w:t xml:space="preserve"> reden is het </w:t>
      </w:r>
      <w:r w:rsidR="00F315A4" w:rsidRPr="004F4F63">
        <w:t xml:space="preserve">nog </w:t>
      </w:r>
      <w:r w:rsidR="008A09EF" w:rsidRPr="000A268A">
        <w:t>niet mogelijk om GIO</w:t>
      </w:r>
      <w:r w:rsidR="000D60E7">
        <w:t>’</w:t>
      </w:r>
      <w:r w:rsidR="008A09EF" w:rsidRPr="000A268A">
        <w:t xml:space="preserve">s te </w:t>
      </w:r>
      <w:r w:rsidR="00912A00" w:rsidRPr="000A268A">
        <w:t>wijzigen</w:t>
      </w:r>
      <w:r w:rsidR="008A09EF" w:rsidRPr="000A268A">
        <w:t xml:space="preserve"> door alleen de </w:t>
      </w:r>
      <w:r w:rsidR="00AC010A" w:rsidRPr="000A268A">
        <w:t xml:space="preserve">gewijzigde </w:t>
      </w:r>
      <w:r w:rsidR="008A09EF" w:rsidRPr="000A268A">
        <w:t xml:space="preserve">onderdelen aan te leveren. </w:t>
      </w:r>
      <w:r w:rsidR="00B17054" w:rsidRPr="000A268A">
        <w:t>Voor GIO</w:t>
      </w:r>
      <w:r w:rsidR="000D60E7">
        <w:t>’</w:t>
      </w:r>
      <w:r w:rsidR="00B17054" w:rsidRPr="000A268A">
        <w:t>s bestaat nog geen renvooi-weergave.</w:t>
      </w:r>
      <w:r w:rsidR="00DE4DBF" w:rsidRPr="000A268A">
        <w:t xml:space="preserve"> </w:t>
      </w:r>
      <w:r w:rsidR="008A09EF" w:rsidRPr="000A268A">
        <w:t xml:space="preserve">Als een bestuursorgaan een GIO wil wijzigen, bijvoorbeeld omdat </w:t>
      </w:r>
      <w:r w:rsidR="001957B8" w:rsidRPr="000A268A">
        <w:t xml:space="preserve">bij het gebiedsgewijs opbouwen van het omgevingsplan een artikel over de activiteit wonen niet alleen meer het centrum </w:t>
      </w:r>
      <w:r w:rsidR="004A0199" w:rsidRPr="000A268A">
        <w:t>als werkingsgebied heeft</w:t>
      </w:r>
      <w:r w:rsidR="001957B8" w:rsidRPr="000A268A">
        <w:t xml:space="preserve"> maar ook het buitengebied, </w:t>
      </w:r>
      <w:r w:rsidR="008A09EF" w:rsidRPr="000A268A">
        <w:t xml:space="preserve">dan </w:t>
      </w:r>
      <w:r w:rsidR="00772C7F" w:rsidRPr="000A268A">
        <w:t xml:space="preserve">doet het </w:t>
      </w:r>
      <w:r w:rsidR="008A09EF" w:rsidRPr="000A268A">
        <w:t>dat door een nieuwe versie van het GIO</w:t>
      </w:r>
      <w:r w:rsidR="00772C7F" w:rsidRPr="000A268A">
        <w:t xml:space="preserve"> vast te stellen en aan te leveren</w:t>
      </w:r>
      <w:r w:rsidR="008A09EF" w:rsidRPr="000A268A">
        <w:t xml:space="preserve">. </w:t>
      </w:r>
      <w:r w:rsidR="00B64112" w:rsidRPr="000A268A">
        <w:t>Ook</w:t>
      </w:r>
      <w:r w:rsidR="00B64112">
        <w:t xml:space="preserve"> hier geldt dat het niet de bedoeling is </w:t>
      </w:r>
      <w:r w:rsidR="00566EEB">
        <w:t xml:space="preserve">dat door het moeten aan leveren van een nieuwe versie van een GIO, </w:t>
      </w:r>
      <w:r w:rsidR="00271B01" w:rsidRPr="00271B01">
        <w:t>bij iedere wijziging van een GIO, hoe klein ook,</w:t>
      </w:r>
      <w:r w:rsidR="00271B01">
        <w:t xml:space="preserve"> </w:t>
      </w:r>
      <w:r w:rsidR="00271B01" w:rsidRPr="00271B01">
        <w:t>het hele GIO</w:t>
      </w:r>
      <w:r w:rsidR="00271B01">
        <w:t xml:space="preserve"> </w:t>
      </w:r>
      <w:r w:rsidR="00271B01" w:rsidRPr="00271B01">
        <w:t>voor beroep vatbaar wordt, dus ook de onderdelen die niet gewijzigd zijn.</w:t>
      </w:r>
      <w:r w:rsidR="00F55F50">
        <w:t xml:space="preserve"> Om dat te voorkomen </w:t>
      </w:r>
      <w:r w:rsidR="00F55F50" w:rsidRPr="00F55F50">
        <w:t xml:space="preserve">kan </w:t>
      </w:r>
      <w:r w:rsidR="000A1B86">
        <w:t xml:space="preserve">een vergelijkbare </w:t>
      </w:r>
      <w:r w:rsidR="00F55F50" w:rsidRPr="00F55F50">
        <w:t>werkwijze worden toegepast als bij de alternatieve wijzigingsmethoden Intrekken &amp; vervangen en Integrale tekstvervanging</w:t>
      </w:r>
      <w:r w:rsidR="00F55F50">
        <w:t xml:space="preserve">. </w:t>
      </w:r>
      <w:r w:rsidR="00962DE0">
        <w:t xml:space="preserve">Geadviseerd wordt om in het dictum van het besluit de wijzigingen in het GIO </w:t>
      </w:r>
      <w:r w:rsidR="00DB67C2">
        <w:t xml:space="preserve">precies te beschrijven. Dan </w:t>
      </w:r>
      <w:r w:rsidR="00DB67C2" w:rsidRPr="00DB67C2">
        <w:t>is juridisch sprake van een wijzigingsbesluit, dat technisch wordt uitgevoerd</w:t>
      </w:r>
      <w:r w:rsidR="00DB67C2">
        <w:t xml:space="preserve"> </w:t>
      </w:r>
      <w:r w:rsidR="00FF43DA">
        <w:t xml:space="preserve">op de beschikbare manier, namelijk </w:t>
      </w:r>
      <w:r w:rsidR="00DB67C2">
        <w:t xml:space="preserve">door het vaststellen en aanleveren </w:t>
      </w:r>
      <w:r w:rsidR="003D25EE">
        <w:t xml:space="preserve">van </w:t>
      </w:r>
      <w:r w:rsidR="003D25EE" w:rsidRPr="003D25EE">
        <w:t>een nieuwe versie van het GIO</w:t>
      </w:r>
      <w:r w:rsidR="003D25EE">
        <w:t xml:space="preserve">. Dit kan verduidelijkt worden door </w:t>
      </w:r>
      <w:r w:rsidR="00B51DC2" w:rsidRPr="00B51DC2">
        <w:t>in de motivering of de toelichting</w:t>
      </w:r>
      <w:r w:rsidR="00B51DC2">
        <w:t xml:space="preserve"> </w:t>
      </w:r>
      <w:r w:rsidR="00B51DC2" w:rsidRPr="00B51DC2">
        <w:t>kaartjes</w:t>
      </w:r>
      <w:r w:rsidR="00B51DC2">
        <w:t xml:space="preserve"> op te nemen </w:t>
      </w:r>
      <w:r w:rsidR="00F9262D">
        <w:t>waarmee de verschillen worden geïllustreerd</w:t>
      </w:r>
      <w:r w:rsidR="002F1920">
        <w:t>.</w:t>
      </w:r>
      <w:r w:rsidR="00F001F1">
        <w:t xml:space="preserve"> </w:t>
      </w:r>
      <w:r w:rsidR="00767B3C">
        <w:fldChar w:fldCharType="begin"/>
      </w:r>
      <w:r w:rsidR="00767B3C">
        <w:instrText xml:space="preserve"> REF _Ref_128b912b00316122fdb3b0dba97bf1a9_2 \n \h </w:instrText>
      </w:r>
      <w:r w:rsidR="00767B3C">
        <w:fldChar w:fldCharType="separate"/>
      </w:r>
      <w:r w:rsidR="00D33EA9">
        <w:t>Figuur 95</w:t>
      </w:r>
      <w:r w:rsidR="00767B3C">
        <w:fldChar w:fldCharType="end"/>
      </w:r>
      <w:r w:rsidR="00767B3C">
        <w:t xml:space="preserve"> laat een voorbeeld van zo</w:t>
      </w:r>
      <w:r w:rsidR="000D60E7">
        <w:t>’</w:t>
      </w:r>
      <w:r w:rsidR="00767B3C">
        <w:t>n kaartje zien</w:t>
      </w:r>
      <w:r w:rsidR="003374BB">
        <w:t xml:space="preserve"> </w:t>
      </w:r>
      <w:r w:rsidR="003374BB" w:rsidRPr="003374BB">
        <w:t>(bron: LandGoed en gemeente Amsterdam)</w:t>
      </w:r>
      <w:r w:rsidR="00767B3C">
        <w:t>.</w:t>
      </w:r>
    </w:p>
    <w:p w14:paraId="14405BD9" w14:textId="4A5A588D" w:rsidR="002F1920" w:rsidRDefault="009E46AA" w:rsidP="009E46AA">
      <w:pPr>
        <w:pStyle w:val="Figuur"/>
      </w:pPr>
      <w:r>
        <w:rPr>
          <w:noProof/>
        </w:rPr>
        <w:lastRenderedPageBreak/>
        <w:drawing>
          <wp:inline distT="0" distB="0" distL="0" distR="0" wp14:anchorId="55C60463" wp14:editId="7F234DEC">
            <wp:extent cx="3100658" cy="3333750"/>
            <wp:effectExtent l="0" t="0" r="5080" b="0"/>
            <wp:docPr id="1415576847" name="Afbeelding 1415576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107469" cy="3341073"/>
                    </a:xfrm>
                    <a:prstGeom prst="rect">
                      <a:avLst/>
                    </a:prstGeom>
                    <a:noFill/>
                  </pic:spPr>
                </pic:pic>
              </a:graphicData>
            </a:graphic>
          </wp:inline>
        </w:drawing>
      </w:r>
    </w:p>
    <w:p w14:paraId="7FDEEFE7" w14:textId="1CA7A34A" w:rsidR="00A67610" w:rsidRPr="00A67610" w:rsidRDefault="00A67610" w:rsidP="004F4F63">
      <w:pPr>
        <w:pStyle w:val="Figuurbijschrift"/>
      </w:pPr>
      <w:bookmarkStart w:id="748" w:name="_Ref_128b912b00316122fdb3b0dba97bf1a9_2"/>
      <w:r>
        <w:t xml:space="preserve">Voorbeeld kaartje ter illustratie van </w:t>
      </w:r>
      <w:r w:rsidR="00BA00D5">
        <w:t>wijziging</w:t>
      </w:r>
      <w:r>
        <w:t xml:space="preserve"> GIO</w:t>
      </w:r>
      <w:bookmarkEnd w:id="748"/>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1" Type="http://schemas.openxmlformats.org/officeDocument/2006/relationships/image" Target="media/image_fafebba1b986b530876ec554c429229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