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FE3A" w14:textId="57270D56" w:rsidR="00812E76" w:rsidRDefault="00812E76" w:rsidP="00812E76">
      <w:pPr>
        <w:pStyle w:val="Kop3"/>
      </w:pPr>
      <w:bookmarkStart w:id="765" w:name="_Ref_798e41d56def52b13903ee0cdd2d45a7_1"/>
      <w:bookmarkStart w:id="766" w:name="_Ref_798e41d56def52b13903ee0cdd2d45a7_2"/>
      <w:bookmarkStart w:id="767" w:name="_Ref_798e41d56def52b13903ee0cdd2d45a7_3"/>
      <w:r>
        <w:t xml:space="preserve">Intrekken </w:t>
      </w:r>
      <w:r w:rsidR="008D6AAE">
        <w:t>&amp;</w:t>
      </w:r>
      <w:r>
        <w:t xml:space="preserve"> vervangen als reguliere wijzigingsmethode</w:t>
      </w:r>
      <w:bookmarkEnd w:id="765"/>
      <w:bookmarkEnd w:id="766"/>
    </w:p>
    <w:p w14:paraId="7580B46F" w14:textId="77777777" w:rsidR="00812E76" w:rsidRDefault="00812E76" w:rsidP="00812E76">
      <w:r>
        <w:t xml:space="preserve">Sommige typen omgevingsdocument zijn verplicht: het bestuursorgaan moet ze vaststellen en daarna, zo volgt uit het systeem van de wet, moet het openbaar lichaam steeds beschikken over dat omgevingsdocument. Voorbeelden daarvan voor de provincie zijn de omgevingsvisie en de omgevingsverordening, voor de gemeente de omgevingsvisie en het omgevingsplan, voor het waterschap de waterschapsverordening en het waterbeheerprogramma en voor het Rijk de omgevingsvisie, de AMvB en de ministeriële regeling. Deze omgevingsdocumenten worden, na hun initiële vaststelling, met wijzigingsbesluiten gewijzigd. Het kan voorkomen dat de wijzigingen zo omvangrijk zijn dat het bestuursorgaan het omgevingsdocument intrekt en vervangt door een nieuwe. </w:t>
      </w:r>
      <w:r w:rsidRPr="00DC7CE2">
        <w:t xml:space="preserve">Een voorbeeld is een provincie die </w:t>
      </w:r>
      <w:r>
        <w:t>in 2023</w:t>
      </w:r>
      <w:r w:rsidRPr="00DC7CE2">
        <w:t xml:space="preserve"> een omgevingsvisie </w:t>
      </w:r>
      <w:r>
        <w:t xml:space="preserve">heeft vastgesteld </w:t>
      </w:r>
      <w:r w:rsidRPr="00DC7CE2">
        <w:t>genaamd ‘Prachtig Provincieland</w:t>
      </w:r>
      <w:r>
        <w:t xml:space="preserve"> 2035</w:t>
      </w:r>
      <w:r w:rsidRPr="00DC7CE2">
        <w:t>’</w:t>
      </w:r>
      <w:r>
        <w:t xml:space="preserve">. De provincie heeft de daarin gestelde ontwikkelings- en beleidsdoelen bereikt en wil nieuw beleid en ontwikkelingen gaan realiseren. In 2035 trekt de provincie daarom de bestaande omgevingsvisie </w:t>
      </w:r>
      <w:r w:rsidRPr="00DC7CE2">
        <w:t>in</w:t>
      </w:r>
      <w:r>
        <w:t xml:space="preserve"> </w:t>
      </w:r>
      <w:r w:rsidRPr="00DC7CE2">
        <w:t xml:space="preserve">en </w:t>
      </w:r>
      <w:r>
        <w:t xml:space="preserve">stelt </w:t>
      </w:r>
      <w:r w:rsidRPr="00DC7CE2">
        <w:t xml:space="preserve">een nieuwe omgevingsvisie </w:t>
      </w:r>
      <w:r>
        <w:t>vast</w:t>
      </w:r>
      <w:r w:rsidRPr="00DC7CE2">
        <w:t xml:space="preserve"> genaamd ‘Provincieland economisch voorop</w:t>
      </w:r>
      <w:r>
        <w:t xml:space="preserve"> 2050</w:t>
      </w:r>
      <w:r w:rsidRPr="00DC7CE2">
        <w:t>’.</w:t>
      </w:r>
      <w:r>
        <w:t xml:space="preserve"> </w:t>
      </w:r>
    </w:p>
    <w:p w14:paraId="6596FD75" w14:textId="77777777" w:rsidR="00812E76" w:rsidRDefault="00812E76" w:rsidP="00812E76">
      <w:r>
        <w:t xml:space="preserve">Dat het nieuwe omgevingsdocument bedoeld is als opvolger, voortzetting, van het bestaande omgevingsdocument kan sterker tot uitdrukking worden gebracht door die opvolgingsrelatie expliciet in de metadata van de regeling op te nemen. Dat kan met </w:t>
      </w:r>
      <w:r w:rsidRPr="006D6B54">
        <w:t xml:space="preserve">Intrekken &amp; vervangen </w:t>
      </w:r>
      <w:r>
        <w:t xml:space="preserve">als </w:t>
      </w:r>
      <w:r w:rsidRPr="00AA724F">
        <w:t xml:space="preserve">reguliere </w:t>
      </w:r>
      <w:r>
        <w:t>wijzigings</w:t>
      </w:r>
      <w:r w:rsidRPr="00AA724F">
        <w:t>methode</w:t>
      </w:r>
      <w:r>
        <w:t>.</w:t>
      </w:r>
      <w:r w:rsidRPr="00AA724F" w:rsidDel="00AA724F">
        <w:t xml:space="preserve"> </w:t>
      </w:r>
      <w:r>
        <w:t xml:space="preserve">Deze wijzigingsmethode wordt toegepast als </w:t>
      </w:r>
      <w:r w:rsidRPr="006D6B54">
        <w:t xml:space="preserve">het bevoegd gezag </w:t>
      </w:r>
      <w:r>
        <w:t>(</w:t>
      </w:r>
      <w:r w:rsidRPr="00A75E3C">
        <w:t>zowel juridisch als technisch</w:t>
      </w:r>
      <w:r>
        <w:t>)</w:t>
      </w:r>
      <w:r w:rsidRPr="00A75E3C">
        <w:t xml:space="preserve"> </w:t>
      </w:r>
      <w:r w:rsidRPr="006D6B54">
        <w:t>een bestaande regeling intrekt en vervangt door een nieuwe regeling</w:t>
      </w:r>
      <w:r w:rsidRPr="00261AD5">
        <w:t>, waarbij die regelingen zo sterk met elkaar verbonden zijn dat sprake is van een opvolgingsrelatie</w:t>
      </w:r>
      <w:r>
        <w:t>. In de RegelingMetadata van de nieuwe regeling</w:t>
      </w:r>
      <w:r w:rsidRPr="00E0057B">
        <w:t xml:space="preserve"> wordt </w:t>
      </w:r>
      <w:r>
        <w:t xml:space="preserve">met het element </w:t>
      </w:r>
      <w:r w:rsidRPr="00E0057B">
        <w:t xml:space="preserve">opvolgerVan verwezen naar (de identificatie van) de ingetrokken </w:t>
      </w:r>
      <w:r>
        <w:t>regeling</w:t>
      </w:r>
      <w:r w:rsidRPr="00E0057B">
        <w:t xml:space="preserve">. Door het aangeven van deze opvolg-relatie </w:t>
      </w:r>
      <w:r>
        <w:t xml:space="preserve">kan DSO-LV </w:t>
      </w:r>
      <w:r w:rsidRPr="00E0057B">
        <w:t>bij een tijdreis vanuit de nieuwe regeling de ingetrokken regeling als voorganger tonen.</w:t>
      </w:r>
    </w:p>
    <w:p w14:paraId="6C866A83" w14:textId="77777777" w:rsidR="00812E76" w:rsidRPr="00BA2EA9" w:rsidRDefault="00812E76" w:rsidP="00812E76">
      <w:r>
        <w:t xml:space="preserve">Juridisch gezien ligt het voor de hand om het intrekken van de oude regeling en het instellen van de nieuwe regeling in één besluit op te nemen, en om het continu aanwezig zijn van het </w:t>
      </w:r>
      <w:r>
        <w:lastRenderedPageBreak/>
        <w:t xml:space="preserve">omgevingsdocument te borgen door de (inwerkingtredings)datum van de intrekking dezelfde te laten zijn als de inwerkingtredingsdatum van de nieuwe regeling. Technisch gezien maakt het bij regulier Intrekken &amp; vervangen niet uit of de intrekking en de instelling in één of twee besluiten worden aangeleverd, als in de </w:t>
      </w:r>
      <w:r w:rsidRPr="00443F7E">
        <w:t>RegelingMetadata van de nieuwe regeling</w:t>
      </w:r>
      <w:r>
        <w:t xml:space="preserve"> maar </w:t>
      </w:r>
      <w:r w:rsidRPr="00443F7E">
        <w:t>het element opvolgerVan</w:t>
      </w:r>
      <w:r>
        <w:t xml:space="preserve"> is opgenomen. Het is aan het bevoegd gezag om er voor te zorgen dat de juridisch juiste datum wordt opgenomen voor intrekking van de oude regeling en inwerkingtreding van de nieuwe regeling, daarop wordt niet gevalideerd.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