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1BCB06E0"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C235A5">
        <w:rPr>
          <w:rStyle w:val="Verwijzing"/>
        </w:rPr>
        <w:t>7.12</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C235A5">
        <w:rPr>
          <w:rStyle w:val="Verwijzing"/>
        </w:rPr>
        <w:t>7.13</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0D8FF154" w:rsidR="002F0D2A" w:rsidRPr="000A4B5B" w:rsidRDefault="002F0D2A" w:rsidP="002F0D2A">
      <w:r w:rsidRPr="000A4B5B">
        <w:t>Bij elkaar in één artikel of een bijlage plaatsen van meet- en rekenbepalingen zorgt</w:t>
      </w:r>
      <w:r w:rsidR="00565925">
        <w:t xml:space="preserve"> er voor</w:t>
      </w:r>
      <w:r w:rsidRPr="000A4B5B">
        <w:t xml:space="preserve">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71207DCD"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C235A5">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0701942C" w:rsidR="002F0D2A" w:rsidRPr="000A4B5B" w:rsidRDefault="002F0D2A" w:rsidP="002F0D2A">
      <w:r w:rsidRPr="000A4B5B">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C235A5">
        <w:t>de basistekst</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