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6BDF54FF"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2D10A5">
          <w:t>de basistekst</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D33EA9">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2D10A5">
          <w:t>de basistekst</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_Ref_94c20abb9240e2a249fc7a9ac12ebb11_2 \n \h </w:instrText>
      </w:r>
      <w:r w:rsidR="00D25BE8" w:rsidRPr="00863F41">
        <w:rPr>
          <w:rStyle w:val="Verwijzing"/>
        </w:rPr>
      </w:r>
      <w:r w:rsidR="00D25BE8" w:rsidRPr="00863F41">
        <w:rPr>
          <w:rStyle w:val="Verwijzing"/>
        </w:rPr>
        <w:fldChar w:fldCharType="separate"/>
      </w:r>
      <w:r w:rsidR="00D33EA9">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