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0F1545" w:rsidP="00191ED2">
      <w:pPr>
        <w:pStyle w:val="Kop4"/>
      </w:pPr>
      <w:r w:rsidRPr="000F1545">
        <w:t>Annotaties voor de dienstverlening in DSO-LV</w:t>
      </w:r>
    </w:p>
    <w:p w14:paraId="41FAE7C9" w14:textId="77777777" w:rsidR="00554FAB" w:rsidRDefault="00554FAB"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554FAB" w:rsidP="00554FAB">
      <w:r>
        <w:t>Om het omgevingsdocument met alles wat daar bij</w:t>
      </w:r>
      <w:r w:rsidR="00435948">
        <w:t xml:space="preserve"> </w:t>
      </w:r>
      <w:r>
        <w:t>hoort in DSO-LV te kunnen tonen, is het verplicht om, eenmalig per omgevingsdocument, het Regelingsgebied aan te leveren.</w:t>
      </w:r>
    </w:p>
    <w:p w14:paraId="3D8EC752" w14:textId="6F6A51E5" w:rsidR="00554FAB" w:rsidRDefault="00554FAB"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66E755C8" w:rsidR="00554FAB" w:rsidRDefault="00554FAB"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554FAB"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554FAB"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004C2929" w:rsidRPr="00B26823">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