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829" w:name="_Ref_10e7225911676895a7da237c9199dd01_1"/>
      <w:r>
        <w:t>Doel als i</w:t>
      </w:r>
      <w:r w:rsidRPr="00F03DD9">
        <w:t>dentificatie van een Regelingversie</w:t>
      </w:r>
      <w:bookmarkEnd w:id="829"/>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xml:space="preserve">, voorbereidingsprocedure, besluitvorming, bekendmaken en consolideren, is een unieke identificatie nodig. De STOP/TPOD-standaard noemt die identificatie Doel. De term Doel is afgeleid van het doel dat het bevoegd gezag voor ogen heeft als aanleiding voor de </w:t>
      </w:r>
      <w:r w:rsidRPr="00F03DD9">
        <w:lastRenderedPageBreak/>
        <w:t>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58"/>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1165A451" w14:textId="626A4F22" w:rsidR="00ED0A54"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035D849B"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xml:space="preserve">. Een voorbeeld: Provinciale staten stellen </w:t>
      </w:r>
      <w:r w:rsidRPr="00F03DD9">
        <w:lastRenderedPageBreak/>
        <w:t>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04253E87" w:rsidR="00E43714" w:rsidRPr="00F03DD9" w:rsidRDefault="00E43714" w:rsidP="00E43714">
      <w:r>
        <w:t xml:space="preserve">In paragraaf </w:t>
      </w:r>
      <w:r w:rsidR="00B35CE4">
        <w:fldChar w:fldCharType="begin"/>
      </w:r>
      <w:r w:rsidR="00B35CE4">
        <w:instrText xml:space="preserve"> REF _Ref_7e790e9388c9239b6146833668f016fb_1 \n \h </w:instrText>
      </w:r>
      <w:r w:rsidR="00B35CE4">
        <w:fldChar w:fldCharType="separate"/>
      </w:r>
      <w:r w:rsidR="00D33EA9">
        <w:t>10.4</w:t>
      </w:r>
      <w:r w:rsidR="00B35CE4">
        <w:fldChar w:fldCharType="end"/>
      </w:r>
      <w:r>
        <w:t xml:space="preserve"> is de concrete toepassing van Doel op </w:t>
      </w:r>
      <w:fldSimple w:instr=" DOCVARIABLE ID01+ ">
        <w:r w:rsidR="002D10A5">
          <w:t>de basistekst</w:t>
        </w:r>
      </w:fldSimple>
      <w:r>
        <w:t xml:space="preserve"> beschreven in de vorm van specificaties en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