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841" w:name="_Ref_50107845663edfa376a8a484b1d87f87_1"/>
      <w:r>
        <w:t>RegelingMetadata</w:t>
      </w:r>
      <w:bookmarkEnd w:id="841"/>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lastRenderedPageBreak/>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p>
    <w:p w14:paraId="079AECE3" w14:textId="265D5D68" w:rsidR="00E43714"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 xml:space="preserve">. </w:t>
      </w:r>
    </w:p>
    <w:p w14:paraId="5D7E8373" w14:textId="77777777"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5F357E">
        <w:lastRenderedPageBreak/>
        <w:t>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E731F" w:rsidRPr="00771B13" w:rsidRDefault="004E731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