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843" w:name="_Ref_198dcd95b42a8d9250b8338581a1a655_1"/>
      <w:r>
        <w:t>KennisgevingMetadata</w:t>
      </w:r>
      <w:bookmarkEnd w:id="843"/>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7EFC55EE" w14:textId="77777777" w:rsidR="00E43714"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r w:rsidRPr="00E43DC8" w:rsidDel="005100D4">
        <w:t xml:space="preserve"> </w:t>
      </w:r>
    </w:p>
    <w:p w14:paraId="317997BA" w14:textId="77777777"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20BE959C" w14:textId="7C1C046C" w:rsidR="00E43714"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_Ref_a861a03568e9c6d2903e102d0c381261_1 \n \h </w:instrText>
      </w:r>
      <w:r>
        <w:fldChar w:fldCharType="separate"/>
      </w:r>
      <w:r w:rsidR="002D10A5">
        <w:t>10.2.1</w:t>
      </w:r>
      <w:r>
        <w:fldChar w:fldCharType="end"/>
      </w:r>
      <w:r>
        <w:t>). Verplicht gegeven. Komt 1 keer voor. D</w:t>
      </w:r>
      <w:r w:rsidRPr="00B3240A">
        <w:t>it</w:t>
      </w:r>
      <w:r>
        <w:t xml:space="preserve"> gegeven speelt een rol bij het vindbaar en herkenbaar maken van de kennisgeving </w:t>
      </w:r>
      <w:r w:rsidRPr="006A21B8">
        <w:t>op overheid.nl</w:t>
      </w:r>
      <w:r>
        <w:t xml:space="preserve">. Daarom wordt geadviseerd om de kennisgeving een zo onderscheidend en herkenbaar mogelijke titel (en RegelingOpschrift) te geven. </w:t>
      </w:r>
    </w:p>
    <w:p w14:paraId="4A7E4FBF" w14:textId="77777777" w:rsidR="00E43714" w:rsidRDefault="00E43714" w:rsidP="00E43714">
      <w:pPr>
        <w:pStyle w:val="Opsommingtekens1"/>
      </w:pPr>
      <w:r w:rsidRPr="00073B3E">
        <w:rPr>
          <w:i/>
          <w:iCs/>
        </w:rPr>
        <w:lastRenderedPageBreak/>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