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DA44AF">
      <w:pPr>
        <w:pStyle w:val="Kop4"/>
      </w:pPr>
      <w:bookmarkStart w:id="845" w:name="_Ref_1259903d2fa6bd271db825ea37c0c6d6_1"/>
      <w:bookmarkStart w:id="847" w:name="_Ref_1259903d2fa6bd271db825ea37c0c6d6_2"/>
      <w:r>
        <w:t>Soort procedure en consolidatie</w:t>
      </w:r>
      <w:bookmarkEnd w:id="845"/>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0FD98FCB" w14:textId="77777777" w:rsidR="00E43714"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 xml:space="preserve">Na ontvangst van een initieel besluit destilleert de LVBB daaruit de Regelingversie. Na ontvangst van een </w:t>
      </w:r>
      <w:r w:rsidRPr="00B3240A">
        <w:lastRenderedPageBreak/>
        <w:t>wijzigingsbesluit voert de LVBB de consolidatie uit met als resultaat een nieuwe toestand van de Regeling.</w:t>
      </w:r>
      <w:r>
        <w:t xml:space="preserve"> </w:t>
      </w:r>
      <w:r w:rsidRPr="00325A43">
        <w:t xml:space="preserve">De LVBB doet dat wanneer de inwerkingtredingsdatum van het (wijzigings)besluit -en daarmee ook van de nieuwe RegelingVersie- bekend is. De LVBB haalt die datum op uit de meegeleverde ConsolidatieInformatie. </w:t>
      </w:r>
    </w:p>
    <w:p w14:paraId="286E0F3A" w14:textId="77777777"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5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