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DA130" w14:textId="77777777" w:rsidR="00E43714" w:rsidRDefault="00E43714" w:rsidP="00E43714">
      <w:pPr>
        <w:pStyle w:val="Kop5"/>
      </w:pPr>
      <w:bookmarkStart w:id="881" w:name="_Ref_ba38b9ba521d3728c5433fbf30480754_1"/>
      <w:bookmarkStart w:id="882" w:name="_Ref_ba38b9ba521d3728c5433fbf30480754_2"/>
      <w:bookmarkStart w:id="883" w:name="_Ref_ba38b9ba521d3728c5433fbf30480754_3"/>
      <w:r>
        <w:t>Juridisch kader</w:t>
      </w:r>
      <w:bookmarkEnd w:id="881"/>
      <w:bookmarkEnd w:id="882"/>
      <w:bookmarkEnd w:id="883"/>
    </w:p>
    <w:p w14:paraId="03DD6537" w14:textId="77777777" w:rsidR="00E43714" w:rsidRDefault="00E43714" w:rsidP="00E43714">
      <w:r>
        <w:t>De gemeenteraad stelt het omgevingsplan vast</w:t>
      </w:r>
      <w:r>
        <w:rPr>
          <w:rStyle w:val="Voetnootmarkering"/>
        </w:rPr>
        <w:footnoteReference w:id="66"/>
      </w:r>
      <w:r>
        <w:t xml:space="preserve">. De gemeenteraad kan de bevoegdheid </w:t>
      </w:r>
      <w:r w:rsidRPr="007E604B">
        <w:t>tot het vaststellen van delen van het omgevingsplan</w:t>
      </w:r>
      <w:r>
        <w:t xml:space="preserve"> </w:t>
      </w:r>
      <w:r w:rsidRPr="007C3B79">
        <w:t>delegeren aan het college van burgemeester en wethouders</w:t>
      </w:r>
      <w:r>
        <w:rPr>
          <w:rStyle w:val="Voetnootmarkering"/>
        </w:rPr>
        <w:footnoteReference w:id="67"/>
      </w:r>
      <w:r>
        <w:t xml:space="preserve">. </w:t>
      </w:r>
    </w:p>
    <w:p w14:paraId="5F8099FD" w14:textId="77777777" w:rsidR="00E43714" w:rsidRDefault="00E43714" w:rsidP="00E43714">
      <w:r w:rsidRPr="001D5AA5">
        <w:t xml:space="preserve">Bij het vaststellen van een omgevingsplan wordt aangegeven hoe burgers, bedrijven, maatschappelijke organisaties en bestuursorganen bij de voorbereiding zijn betrokken en </w:t>
      </w:r>
      <w:r w:rsidRPr="001D5AA5">
        <w:lastRenderedPageBreak/>
        <w:t>wat de resultaten daarvan zijn. Daarbij wordt aangegeven op welke wijze invulling is gegeven aan het toepasselijke decentrale participatiebeleid</w:t>
      </w:r>
      <w:r>
        <w:rPr>
          <w:rStyle w:val="Voetnootmarkering"/>
        </w:rPr>
        <w:footnoteReference w:id="68"/>
      </w:r>
      <w:r w:rsidRPr="001D5AA5">
        <w:t>.</w:t>
      </w:r>
      <w:r>
        <w:t xml:space="preserve"> </w:t>
      </w:r>
    </w:p>
    <w:p w14:paraId="116AABA4" w14:textId="77777777" w:rsidR="008433F2" w:rsidRDefault="00E43714" w:rsidP="00E43714">
      <w:r>
        <w:t>Het besluit wordt bekendgemaakt door plaatsing ervan in het gemeenteblad</w:t>
      </w:r>
      <w:r>
        <w:rPr>
          <w:rStyle w:val="Voetnootmarkering"/>
        </w:rPr>
        <w:footnoteReference w:id="69"/>
      </w:r>
      <w:r>
        <w:t xml:space="preserve">. </w:t>
      </w:r>
    </w:p>
    <w:p w14:paraId="04D4D9B9" w14:textId="77777777" w:rsidR="008433F2" w:rsidRDefault="008433F2" w:rsidP="00E43714"/>
    <w:p w14:paraId="432BF748" w14:textId="61435040" w:rsidR="00F96CFE" w:rsidRDefault="00F96CFE" w:rsidP="00E43714">
      <w:r w:rsidRPr="007A01C8">
        <w:t xml:space="preserve">In afwijking van artikel 3:1, eerste lid, aanhef en onder b, </w:t>
      </w:r>
      <w:r>
        <w:t>Awb</w:t>
      </w:r>
      <w:r w:rsidR="003350D9">
        <w:rPr>
          <w:rStyle w:val="Voetnootmarkering"/>
        </w:rPr>
        <w:footnoteReference w:id="70"/>
      </w:r>
      <w:r>
        <w:t xml:space="preserve"> </w:t>
      </w:r>
      <w:r w:rsidRPr="007A01C8">
        <w:t xml:space="preserve">zijn de artikelen 3:43 tot en met 3:45 en afdeling 3.7 </w:t>
      </w:r>
      <w:r>
        <w:t>Awb</w:t>
      </w:r>
      <w:r w:rsidRPr="007A01C8">
        <w:t xml:space="preserve"> van toepassing op </w:t>
      </w:r>
      <w:r>
        <w:t>(</w:t>
      </w:r>
      <w:r w:rsidRPr="007A01C8">
        <w:t xml:space="preserve">een </w:t>
      </w:r>
      <w:r>
        <w:t xml:space="preserve">besluit tot wijziging van) een </w:t>
      </w:r>
      <w:r w:rsidRPr="007A01C8">
        <w:t>omgevingsplan</w:t>
      </w:r>
      <w:r>
        <w:rPr>
          <w:rStyle w:val="Voetnootmarkering"/>
        </w:rPr>
        <w:footnoteReference w:id="71"/>
      </w:r>
      <w:r w:rsidRPr="007A01C8">
        <w:t>.</w:t>
      </w:r>
      <w:r w:rsidR="00CE7E2D">
        <w:t xml:space="preserve"> Dit betekent dat </w:t>
      </w:r>
      <w:r w:rsidR="00CC536D">
        <w:t xml:space="preserve">naast de </w:t>
      </w:r>
      <w:r w:rsidR="0040330B">
        <w:t xml:space="preserve">bepalingen van de </w:t>
      </w:r>
      <w:r w:rsidR="00CC536D">
        <w:t xml:space="preserve">Bekendmakingswet, ook een aantal bepalingen van de </w:t>
      </w:r>
      <w:r w:rsidR="0040330B">
        <w:t xml:space="preserve">Awb over bekendmaking en mededeling van besluiten </w:t>
      </w:r>
      <w:r w:rsidR="0010650E">
        <w:t xml:space="preserve">op het omgevingsplan van toepassing zijn, datzelfde geldt </w:t>
      </w:r>
      <w:r w:rsidR="00EF49EE">
        <w:t xml:space="preserve">voor </w:t>
      </w:r>
      <w:r w:rsidR="0010650E">
        <w:t xml:space="preserve">de Awb-bepalingen </w:t>
      </w:r>
      <w:r w:rsidR="0040330B">
        <w:t>over de motivering van besluiten</w:t>
      </w:r>
      <w:r w:rsidR="0010650E">
        <w:t>.</w:t>
      </w:r>
    </w:p>
    <w:p w14:paraId="63A062CA" w14:textId="44477809" w:rsidR="00E43714" w:rsidRDefault="00E43714" w:rsidP="00E43714">
      <w:r>
        <w:t xml:space="preserve">Het besluit </w:t>
      </w:r>
      <w:r w:rsidRPr="001975FA">
        <w:t>dient te berusten op een deugdelijke motivering</w:t>
      </w:r>
      <w:r>
        <w:t xml:space="preserve">, die moet worden </w:t>
      </w:r>
      <w:r w:rsidRPr="00112897">
        <w:t>vermeld bij de bekendmaking van het besluit</w:t>
      </w:r>
      <w:r>
        <w:rPr>
          <w:rStyle w:val="Voetnootmarkering"/>
        </w:rPr>
        <w:footnoteReference w:id="72"/>
      </w:r>
      <w:r w:rsidRPr="001975FA">
        <w:t>.</w:t>
      </w:r>
      <w:r>
        <w:t xml:space="preserve"> Bij </w:t>
      </w:r>
      <w:r w:rsidRPr="008E6D40">
        <w:t xml:space="preserve">de bekendmaking van het besluit </w:t>
      </w:r>
      <w:r>
        <w:t xml:space="preserve">moet </w:t>
      </w:r>
      <w:r w:rsidRPr="008E6D40">
        <w:t>melding gemaakt</w:t>
      </w:r>
      <w:r>
        <w:t xml:space="preserve"> worden van het feit dat tegen het besluit </w:t>
      </w:r>
      <w:r w:rsidRPr="008E6D40">
        <w:t>beroep kan worden ingesteld.</w:t>
      </w:r>
      <w:r>
        <w:t xml:space="preserve"> Daarbij moet worden </w:t>
      </w:r>
      <w:r w:rsidRPr="006B0115">
        <w:t>vermeld door wie, binnen welke termijn en bij welk orgaan beroep kan worden ingesteld</w:t>
      </w:r>
      <w:r>
        <w:rPr>
          <w:rStyle w:val="Voetnootmarkering"/>
        </w:rPr>
        <w:footnoteReference w:id="73"/>
      </w:r>
      <w:r w:rsidRPr="006B0115">
        <w:t>.</w:t>
      </w:r>
      <w:r>
        <w:t xml:space="preserve"> Deze bepaling houdt in dat deze zogeheten rechtsmiddelenclausule in het besluit moet worden opgenomen. </w:t>
      </w:r>
    </w:p>
    <w:p w14:paraId="1AFABE18" w14:textId="560281B1" w:rsidR="00E43714" w:rsidRDefault="00E43714" w:rsidP="00E43714">
      <w:r>
        <w:t>NB: er kan geen</w:t>
      </w:r>
      <w:r w:rsidRPr="00263C68">
        <w:t xml:space="preserve"> beroep worden </w:t>
      </w:r>
      <w:r>
        <w:t xml:space="preserve">ingesteld tegen </w:t>
      </w:r>
      <w:r w:rsidRPr="00263C68">
        <w:t xml:space="preserve">regels die uitvoering geven aan een onherroepelijk besluit tot aanwijzing van een monument of archeologisch monument als gemeentelijk monument of provinciaal monument </w:t>
      </w:r>
      <w:r>
        <w:t>en</w:t>
      </w:r>
      <w:r w:rsidRPr="00263C68">
        <w:t xml:space="preserve"> een gemeentelijk of provinciaal beschermd stads- of dorpsgezicht</w:t>
      </w:r>
      <w:r>
        <w:rPr>
          <w:rStyle w:val="Voetnootmarkering"/>
        </w:rPr>
        <w:footnoteReference w:id="74"/>
      </w:r>
      <w:r w:rsidRPr="00263C68">
        <w:t>.</w:t>
      </w:r>
      <w:r>
        <w:t xml:space="preserve"> Mocht zo</w:t>
      </w:r>
      <w:r w:rsidR="00214877">
        <w:t>’</w:t>
      </w:r>
      <w:r>
        <w:t>n geval aan de orde zijn dan zal dat in de bekendmaking (en in de kennisgeving) vermeld worden.</w:t>
      </w:r>
    </w:p>
    <w:p w14:paraId="205B68FA" w14:textId="77777777" w:rsidR="00E43714" w:rsidRDefault="00E43714" w:rsidP="00E43714"/>
    <w:p w14:paraId="6DD6F285" w14:textId="29F8F6CF" w:rsidR="00E43714" w:rsidRDefault="00E43714" w:rsidP="00E43714">
      <w:r>
        <w:t xml:space="preserve">Het besluit tot wijziging van het omgevingsplan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75"/>
      </w:r>
      <w:r>
        <w:t xml:space="preserve"> en moet </w:t>
      </w:r>
      <w:r w:rsidRPr="00C0058C">
        <w:t>gelijktijdig met de bekendmaking van het besluit kennis</w:t>
      </w:r>
      <w:r>
        <w:t xml:space="preserve"> </w:t>
      </w:r>
      <w:r w:rsidRPr="00C0058C">
        <w:t>worden gegeven van de terinzagelegging van d</w:t>
      </w:r>
      <w:r>
        <w:t>i</w:t>
      </w:r>
      <w:r w:rsidRPr="00C0058C">
        <w:t>e stukken</w:t>
      </w:r>
      <w:r>
        <w:rPr>
          <w:rStyle w:val="Voetnootmarkering"/>
        </w:rPr>
        <w:footnoteReference w:id="76"/>
      </w:r>
      <w:r>
        <w:t>. De terinzagelegging geschiedt zowel op elektronische wijze als op een door de gemeente aan te wijzen locatie</w:t>
      </w:r>
      <w:r>
        <w:rPr>
          <w:rStyle w:val="Voetnootmarkering"/>
        </w:rPr>
        <w:footnoteReference w:id="77"/>
      </w:r>
      <w:r>
        <w:t>. De terinzagelegging vindt niet plaats in het gemeente</w:t>
      </w:r>
      <w:r w:rsidRPr="00F0063E">
        <w:t>blad</w:t>
      </w:r>
      <w:r>
        <w:rPr>
          <w:rStyle w:val="Voetnootmarkering"/>
        </w:rPr>
        <w:footnoteReference w:id="78"/>
      </w:r>
      <w:r>
        <w:t xml:space="preserve">. Dit betekent dat de gemeente moet zorgen voor de elektronische terinzagelegging van </w:t>
      </w:r>
      <w:r w:rsidRPr="00491E78">
        <w:t>op de zaak betrekking hebbende stukken</w:t>
      </w:r>
      <w:r>
        <w:t xml:space="preserve"> en voor de terinzagelegging van die stukken op een fysieke locatie. </w:t>
      </w:r>
      <w:r w:rsidRPr="000824D4">
        <w:t xml:space="preserve">Op </w:t>
      </w:r>
      <w:r>
        <w:t>de zaak</w:t>
      </w:r>
      <w:r w:rsidRPr="000824D4">
        <w:t xml:space="preserve"> betrekking hebbende stukken zullen vooral bestaan uit rapportages van uitgevoerde onderzoeken.</w:t>
      </w:r>
      <w:r>
        <w:t xml:space="preserve"> </w:t>
      </w:r>
      <w:r w:rsidR="00A82D10" w:rsidRPr="00A82D10">
        <w:t xml:space="preserve">De terinzagelegging op een door de gemeente te bepalen locatie kan worden georganiseerd door op een in de kennisgeving aangegeven locatie, zoals het gemeentehuis, de mogelijkheid te bieden om op een beeldscherm de op </w:t>
      </w:r>
      <w:r w:rsidR="00A82D10">
        <w:t xml:space="preserve">de zaak </w:t>
      </w:r>
      <w:r w:rsidR="00A82D10" w:rsidRPr="00A82D10">
        <w:t>betrekking hebbende stukken te raadplegen. Uiteraard is het ook mogelijk om alle stukken te printen en in het gemeentehuis klaar te leggen voor inzage.</w:t>
      </w:r>
      <w:r w:rsidR="00F5527B">
        <w:t xml:space="preserve"> </w:t>
      </w:r>
      <w:r w:rsidRPr="004D7A24">
        <w:t>Het besluit zelf hoeft niet ter inzage gelegd te worden, da</w:t>
      </w:r>
      <w:r>
        <w:t>t</w:t>
      </w:r>
      <w:r w:rsidRPr="004D7A24">
        <w:t xml:space="preserve"> moet immers </w:t>
      </w:r>
      <w:r>
        <w:lastRenderedPageBreak/>
        <w:t xml:space="preserve">bekendgemaakt worden </w:t>
      </w:r>
      <w:r w:rsidRPr="004D7A24">
        <w:t>in het publicatieblad</w:t>
      </w:r>
      <w:r>
        <w:t xml:space="preserve">. De </w:t>
      </w:r>
      <w:r w:rsidRPr="001A08CC">
        <w:t>stukken liggen ter inzage totdat de beroepstermijn is verstreken</w:t>
      </w:r>
      <w:r>
        <w:rPr>
          <w:rStyle w:val="Voetnootmarkering"/>
        </w:rPr>
        <w:footnoteReference w:id="79"/>
      </w:r>
      <w:r w:rsidRPr="00822ACB">
        <w:t>.</w:t>
      </w:r>
      <w:r>
        <w:t xml:space="preserve"> </w:t>
      </w:r>
    </w:p>
    <w:p w14:paraId="6A22BEE4" w14:textId="77777777" w:rsidR="00E43714" w:rsidRDefault="00E43714" w:rsidP="00E43714">
      <w:r>
        <w:t xml:space="preserve">Een (besluit tot wijziging van het) omgevingsplan wordt niet eerder bekendgemaakt dan nadat twee weken zijn verstreken sinds de dag waarop het omgevingsplan is vastgesteld, tenzij GS over het ontwerpbesluit </w:t>
      </w:r>
      <w:r w:rsidRPr="00622C4D">
        <w:t>geen zienswijzen naar voren hebben gebracht</w:t>
      </w:r>
      <w:r>
        <w:t xml:space="preserve">, de gemeente ten opzichte van het ontwerpbesluit in het definitieve besluit </w:t>
      </w:r>
      <w:r w:rsidRPr="00C0103E">
        <w:t xml:space="preserve">geen wijzigingen </w:t>
      </w:r>
      <w:r>
        <w:t xml:space="preserve">heeft </w:t>
      </w:r>
      <w:r w:rsidRPr="00C0103E">
        <w:t>aangebracht</w:t>
      </w:r>
      <w:r>
        <w:t xml:space="preserve">, of GS hebben </w:t>
      </w:r>
      <w:r w:rsidRPr="00A532AC">
        <w:t xml:space="preserve">bepaald dat het </w:t>
      </w:r>
      <w:r>
        <w:t>besluit</w:t>
      </w:r>
      <w:r w:rsidRPr="00A532AC">
        <w:t xml:space="preserve"> eerder ter inzage mag worden gelegd</w:t>
      </w:r>
      <w:r>
        <w:rPr>
          <w:rStyle w:val="Voetnootmarkering"/>
        </w:rPr>
        <w:footnoteReference w:id="80"/>
      </w:r>
      <w:r w:rsidRPr="00A532AC">
        <w:t>.</w:t>
      </w:r>
      <w:r>
        <w:t xml:space="preserve"> Let op dat een </w:t>
      </w:r>
      <w:r w:rsidRPr="00095341">
        <w:t>(besluit tot wijziging van het) omgevingsplan</w:t>
      </w:r>
      <w:r>
        <w:t xml:space="preserve"> </w:t>
      </w:r>
      <w:r w:rsidRPr="00095341">
        <w:t xml:space="preserve">niet eerder </w:t>
      </w:r>
      <w:r>
        <w:t xml:space="preserve">mag worden </w:t>
      </w:r>
      <w:r w:rsidRPr="00095341">
        <w:t xml:space="preserve">bekendgemaakt dan de dag waarop de </w:t>
      </w:r>
      <w:r>
        <w:t>Omgevings</w:t>
      </w:r>
      <w:r w:rsidRPr="00095341">
        <w:t>wet in werking treedt</w:t>
      </w:r>
      <w:r>
        <w:rPr>
          <w:rStyle w:val="Voetnootmarkering"/>
        </w:rPr>
        <w:footnoteReference w:id="81"/>
      </w:r>
      <w:r w:rsidRPr="00095341">
        <w:t>.</w:t>
      </w:r>
      <w:r>
        <w:t xml:space="preserve"> De voorbereiding van het besluit, inclusief het nemen van het besluit oftewel de vaststelling, kan wel voor inwerkingtreden van de Omgevingswet plaatsvinden.</w:t>
      </w:r>
    </w:p>
    <w:p w14:paraId="5202244B" w14:textId="77777777" w:rsidR="00E43714" w:rsidRDefault="00E43714" w:rsidP="00E43714"/>
    <w:p w14:paraId="59064CB7" w14:textId="26C287BB" w:rsidR="00876623" w:rsidRDefault="00E43714" w:rsidP="00E43714">
      <w:r>
        <w:t>De gemeenteraad of B&amp;W zenden een besluit tot vaststelling van een omgevingsplan onverwijld aan gedeputeerde staten als sprake is van een geval als bedoeld in artikel 16.21, eerste lid, onder a of b, Ow</w:t>
      </w:r>
      <w:r>
        <w:rPr>
          <w:rStyle w:val="Voetnootmarkering"/>
        </w:rPr>
        <w:footnoteReference w:id="82"/>
      </w:r>
      <w:r>
        <w:t xml:space="preserve">. Die situatie doet zich voor als GS </w:t>
      </w:r>
      <w:r w:rsidRPr="00CB6F46">
        <w:t xml:space="preserve">over </w:t>
      </w:r>
      <w:r>
        <w:t xml:space="preserve">een </w:t>
      </w:r>
      <w:r w:rsidRPr="00CB6F46">
        <w:t xml:space="preserve">onderdeel </w:t>
      </w:r>
      <w:r>
        <w:t xml:space="preserve">van </w:t>
      </w:r>
      <w:r w:rsidRPr="00877E8C">
        <w:t xml:space="preserve">een besluit tot vaststelling of wijziging van een omgevingsplan </w:t>
      </w:r>
      <w:r w:rsidRPr="00CB6F46">
        <w:t xml:space="preserve">een zienswijze naar voren hebben gebracht en die zienswijze niet volledig in het omgevingsplan is overgenomen, of </w:t>
      </w:r>
      <w:r>
        <w:t xml:space="preserve">als de gemeente </w:t>
      </w:r>
      <w:r w:rsidRPr="00CB6F46">
        <w:t xml:space="preserve">in </w:t>
      </w:r>
      <w:r>
        <w:t xml:space="preserve">een </w:t>
      </w:r>
      <w:r w:rsidRPr="00CB6F46">
        <w:t xml:space="preserve">onderdeel </w:t>
      </w:r>
      <w:r>
        <w:t xml:space="preserve">van dat besluit </w:t>
      </w:r>
      <w:r w:rsidRPr="00CB6F46">
        <w:t xml:space="preserve">wijzigingen </w:t>
      </w:r>
      <w:r>
        <w:t>heeft</w:t>
      </w:r>
      <w:r w:rsidRPr="00CB6F46">
        <w:t xml:space="preserve"> aangebracht ten opzichte van het ontwerp, anders dan op grond van een zienswijze van gedeputeerde staten.</w:t>
      </w:r>
      <w:r>
        <w:t xml:space="preserve"> Als een of beide van die gevallen zich voordoen kunnen GS besluiten </w:t>
      </w:r>
      <w:r w:rsidRPr="00E9385A">
        <w:t xml:space="preserve">dat een onderdeel van een besluit tot vaststelling of wijziging van een omgevingsplan geen deel van </w:t>
      </w:r>
      <w:r>
        <w:t xml:space="preserve">dat omgevingsplan </w:t>
      </w:r>
      <w:r w:rsidRPr="00E9385A">
        <w:t>uitmaakt</w:t>
      </w:r>
      <w:r>
        <w:rPr>
          <w:rStyle w:val="Voetnootmarkering"/>
        </w:rPr>
        <w:footnoteReference w:id="83"/>
      </w:r>
      <w:r>
        <w:t xml:space="preserve">. Dit besluit wordt reactieve interventie genoemd. Van deze bevoegdheid kunnen GS alleen gebruik maken voor zover </w:t>
      </w:r>
      <w:r w:rsidRPr="0016679E">
        <w:t>dat nodig is met het oog op een evenwichtige toedeling van functies aan locaties en er sprake is van strijd met een belang als bedoeld in artikel 2.3, tweede lid, onder a, dat is aangegeven in een door een bestuursorgaan van de provincie openbaar gemaakt document</w:t>
      </w:r>
      <w:r>
        <w:rPr>
          <w:rStyle w:val="Voetnootmarkering"/>
        </w:rPr>
        <w:footnoteReference w:id="84"/>
      </w:r>
      <w:r w:rsidRPr="0016679E">
        <w:t>.</w:t>
      </w:r>
      <w:r>
        <w:t xml:space="preserve"> GS moeten de reactieve interventie bekend maken </w:t>
      </w:r>
      <w:r w:rsidRPr="00C857D5">
        <w:t>binnen vier weken nadat het besluit tot vaststelling of wijziging van het omgevingsplan is bekendgemaakt</w:t>
      </w:r>
      <w:r w:rsidR="00257DFE">
        <w:rPr>
          <w:rStyle w:val="Voetnootmarkering"/>
        </w:rPr>
        <w:footnoteReference w:id="85"/>
      </w:r>
      <w:r w:rsidRPr="00C857D5">
        <w:t>.</w:t>
      </w:r>
    </w:p>
    <w:p w14:paraId="34B8E39D" w14:textId="7BF7FDC0" w:rsidR="00876623" w:rsidRDefault="005D1B54" w:rsidP="00E43714">
      <w:r w:rsidRPr="005D1B54">
        <w:t xml:space="preserve">Tegelijkertijd met of zo spoedig mogelijk na de bekendmaking </w:t>
      </w:r>
      <w:r w:rsidR="00B87B54">
        <w:t>moet de gemeente</w:t>
      </w:r>
      <w:r w:rsidR="00B87B54" w:rsidRPr="005D1B54">
        <w:t xml:space="preserve"> </w:t>
      </w:r>
      <w:r w:rsidRPr="005D1B54">
        <w:t xml:space="preserve">van het besluit mededeling </w:t>
      </w:r>
      <w:r w:rsidR="00B87B54">
        <w:t>doen</w:t>
      </w:r>
      <w:r w:rsidR="00B87B54" w:rsidRPr="005D1B54">
        <w:t xml:space="preserve"> </w:t>
      </w:r>
      <w:r w:rsidRPr="005D1B54">
        <w:t>aan degenen die bij de voorbereiding ervan hun zienswijze naar voren hebben gebracht</w:t>
      </w:r>
      <w:r>
        <w:rPr>
          <w:rStyle w:val="Voetnootmarkering"/>
        </w:rPr>
        <w:footnoteReference w:id="86"/>
      </w:r>
      <w:r w:rsidRPr="005D1B54">
        <w:t>.</w:t>
      </w:r>
      <w:r>
        <w:t xml:space="preserve"> </w:t>
      </w:r>
      <w:r w:rsidR="00330614">
        <w:t xml:space="preserve">Aan hen moet </w:t>
      </w:r>
      <w:r w:rsidR="00B87B54">
        <w:t xml:space="preserve">de gemeente </w:t>
      </w:r>
      <w:r w:rsidR="00330614">
        <w:t>e</w:t>
      </w:r>
      <w:r w:rsidR="00C56498">
        <w:t>en exemplaar van het besluit toez</w:t>
      </w:r>
      <w:r w:rsidR="00B87B54">
        <w:t>e</w:t>
      </w:r>
      <w:r w:rsidR="00C56498">
        <w:t>nden</w:t>
      </w:r>
      <w:r w:rsidR="00330614">
        <w:rPr>
          <w:rStyle w:val="Voetnootmarkering"/>
        </w:rPr>
        <w:footnoteReference w:id="87"/>
      </w:r>
      <w:r w:rsidR="00330614">
        <w:t>.</w:t>
      </w:r>
    </w:p>
    <w:p w14:paraId="59F5A2BE" w14:textId="77777777" w:rsidR="00E43714" w:rsidRDefault="00E43714" w:rsidP="00E43714"/>
    <w:p w14:paraId="3F712E49" w14:textId="414AAED9" w:rsidR="00E43714" w:rsidRDefault="00E43714" w:rsidP="00E43714">
      <w:r>
        <w:t>Tegen het besluit tot vaststelling van het omgevingsplan kan een belanghebbende rechtstreeks beroep bij de Afdeling bestuursrechtspraak van de Raad van State instellen</w:t>
      </w:r>
      <w:r>
        <w:rPr>
          <w:rStyle w:val="Voetnootmarkering"/>
        </w:rPr>
        <w:footnoteReference w:id="88"/>
      </w:r>
      <w:r>
        <w:t xml:space="preserve"> (zie hiervoor verder paragraaf </w:t>
      </w:r>
      <w:r w:rsidR="0032121F">
        <w:fldChar w:fldCharType="begin"/>
      </w:r>
      <w:r w:rsidR="0032121F">
        <w:instrText xml:space="preserve"> REF _Ref_ce894b57ad39bbc7b94caf882b7c6418_1 \n \h </w:instrText>
      </w:r>
      <w:r w:rsidR="0032121F">
        <w:fldChar w:fldCharType="separate"/>
      </w:r>
      <w:r w:rsidR="002D10A5">
        <w:t>10.4.5</w:t>
      </w:r>
      <w:r w:rsidR="0032121F">
        <w:fldChar w:fldCharType="end"/>
      </w:r>
      <w:r>
        <w:t xml:space="preserve">). </w:t>
      </w:r>
    </w:p>
    <w:p w14:paraId="7409897F" w14:textId="77777777" w:rsidR="00E43714" w:rsidRDefault="00E43714" w:rsidP="00E43714">
      <w:r w:rsidRPr="00DA45EA">
        <w:t>De termijn voor het indienen van een beroepschrift bedraagt zes weken</w:t>
      </w:r>
      <w:r>
        <w:rPr>
          <w:rStyle w:val="Voetnootmarkering"/>
        </w:rPr>
        <w:footnoteReference w:id="89"/>
      </w:r>
      <w:r w:rsidRPr="00DA45EA">
        <w:t>.</w:t>
      </w:r>
      <w:r>
        <w:t xml:space="preserve"> </w:t>
      </w:r>
      <w:r w:rsidRPr="00015D0D">
        <w:t xml:space="preserve">De termijn </w:t>
      </w:r>
      <w:r>
        <w:t xml:space="preserve">begint </w:t>
      </w:r>
      <w:r w:rsidRPr="00766F7C">
        <w:t>op de dag na die waarop het besluit is bekendgemaakt</w:t>
      </w:r>
      <w:r w:rsidRPr="00766F7C">
        <w:rPr>
          <w:rStyle w:val="Voetnootmarkering"/>
        </w:rPr>
        <w:footnoteReference w:id="90"/>
      </w:r>
      <w:r w:rsidRPr="00766F7C">
        <w:t>.</w:t>
      </w:r>
    </w:p>
    <w:p w14:paraId="2CECCB51" w14:textId="77777777" w:rsidR="00E43714" w:rsidRDefault="00E43714" w:rsidP="00E43714"/>
    <w:p w14:paraId="1340B7C6" w14:textId="77777777" w:rsidR="00E43714" w:rsidRDefault="00E43714" w:rsidP="00E43714">
      <w:r w:rsidRPr="00607911">
        <w:lastRenderedPageBreak/>
        <w:t xml:space="preserve">Een </w:t>
      </w:r>
      <w:r w:rsidRPr="002A65BA">
        <w:t xml:space="preserve">(besluit tot wijziging van het) </w:t>
      </w:r>
      <w:r w:rsidRPr="00607911">
        <w:t>omgevingsplan treedt in werking met ingang van de dag waarop vier weken zijn verstreken sinds de dag waarop het besluit bekend is gemaakt, tenzij in het omgevingsplan een later tijdstip is bepaald</w:t>
      </w:r>
      <w:r>
        <w:rPr>
          <w:rStyle w:val="Voetnootmarkering"/>
        </w:rPr>
        <w:footnoteReference w:id="91"/>
      </w:r>
      <w:r w:rsidRPr="00607911">
        <w:t>.</w:t>
      </w:r>
      <w:r>
        <w:t xml:space="preserve"> Een eventuele reactieve interventie </w:t>
      </w:r>
      <w:r w:rsidRPr="00090C84">
        <w:t xml:space="preserve">treedt tegelijk in werking met het </w:t>
      </w:r>
      <w:r w:rsidRPr="005A4E12">
        <w:t xml:space="preserve">(besluit tot wijziging van het) </w:t>
      </w:r>
      <w:r w:rsidRPr="00090C84">
        <w:t>omgevingsplan waarop het betrekking heeft</w:t>
      </w:r>
      <w:r>
        <w:rPr>
          <w:rStyle w:val="Voetnootmarkering"/>
        </w:rPr>
        <w:footnoteReference w:id="92"/>
      </w:r>
      <w:r w:rsidRPr="00090C84">
        <w:t>.</w:t>
      </w:r>
    </w:p>
    <w:p w14:paraId="34D6D623" w14:textId="77777777" w:rsidR="00E43714" w:rsidRDefault="00E43714" w:rsidP="00E43714"/>
    <w:p w14:paraId="30E1C0D3" w14:textId="337FB04D" w:rsidR="00E43714" w:rsidRDefault="00E43714" w:rsidP="00E43714">
      <w:r>
        <w:t xml:space="preserve">De hiervoor beschreven procedure is met een tijdlijn inzichtelijk gemaakt in </w:t>
      </w:r>
      <w:r w:rsidR="006811FC">
        <w:fldChar w:fldCharType="begin"/>
      </w:r>
      <w:r w:rsidR="006811FC">
        <w:instrText xml:space="preserve"> REF _Ref_ba38b9ba521d3728c5433fbf30480754_4 \n \h </w:instrText>
      </w:r>
      <w:r w:rsidR="006811FC">
        <w:fldChar w:fldCharType="separate"/>
      </w:r>
      <w:r w:rsidR="002D10A5">
        <w:t>Figuur 106</w:t>
      </w:r>
      <w:r w:rsidR="006811FC">
        <w:fldChar w:fldCharType="end"/>
      </w:r>
      <w:r>
        <w:t>.</w:t>
      </w:r>
    </w:p>
    <w:p w14:paraId="5FAF3CC3" w14:textId="77777777" w:rsidR="00E43714" w:rsidRDefault="00E43714" w:rsidP="00E43714">
      <w:pPr>
        <w:pStyle w:val="Figuur"/>
      </w:pPr>
      <w:r>
        <w:rPr>
          <w:noProof/>
        </w:rPr>
        <w:drawing>
          <wp:inline distT="0" distB="0" distL="0" distR="0" wp14:anchorId="4020E9AB" wp14:editId="45B20D4C">
            <wp:extent cx="5381057" cy="2286000"/>
            <wp:effectExtent l="0" t="0" r="0" b="0"/>
            <wp:docPr id="953394683" name="Afbeelding 953394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40">
                      <a:extLst>
                        <a:ext uri="{28A0092B-C50C-407E-A947-70E740481C1C}">
                          <a14:useLocalDpi xmlns:a14="http://schemas.microsoft.com/office/drawing/2010/main" val="0"/>
                        </a:ext>
                      </a:extLst>
                    </a:blip>
                    <a:stretch>
                      <a:fillRect/>
                    </a:stretch>
                  </pic:blipFill>
                  <pic:spPr>
                    <a:xfrm>
                      <a:off x="0" y="0"/>
                      <a:ext cx="5387181" cy="2288602"/>
                    </a:xfrm>
                    <a:prstGeom prst="rect">
                      <a:avLst/>
                    </a:prstGeom>
                  </pic:spPr>
                </pic:pic>
              </a:graphicData>
            </a:graphic>
          </wp:inline>
        </w:drawing>
      </w:r>
    </w:p>
    <w:p w14:paraId="60BAE412" w14:textId="77777777" w:rsidR="00E43714" w:rsidRPr="003617EF" w:rsidRDefault="00E43714" w:rsidP="00E43714">
      <w:pPr>
        <w:pStyle w:val="Figuurbijschrift"/>
      </w:pPr>
      <w:bookmarkStart w:id="885" w:name="_Ref_ba38b9ba521d3728c5433fbf30480754_4"/>
      <w:r>
        <w:t>Procedure definitief besluit wijziging omgevingsplan</w:t>
      </w:r>
      <w:bookmarkEnd w:id="88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0" Type="http://schemas.openxmlformats.org/officeDocument/2006/relationships/image" Target="media/image_633d57ff8897e396c412d874e5f75eb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