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commentRangeStart w:id="956"/>
      <w:commentRangeStart w:id="957"/>
      <w:commentRangeStart w:id="958"/>
      <w:commentRangeStart w:id="959"/>
      <w:r>
        <w:t>Fase van vaststelling, bekendmaking en inwerkingtreding: definitief besluit</w:t>
      </w:r>
      <w:commentRangeEnd w:id="956"/>
      <w:r w:rsidR="00395267">
        <w:rPr>
          <w:rStyle w:val="Verwijzingopmerking"/>
          <w:b w:val="0"/>
          <w:bCs w:val="0"/>
        </w:rPr>
        <w:commentReference w:id="956"/>
      </w:r>
      <w:commentRangeEnd w:id="957"/>
      <w:r w:rsidR="00415F61">
        <w:rPr>
          <w:rStyle w:val="Verwijzingopmerking"/>
          <w:b w:val="0"/>
          <w:bCs w:val="0"/>
        </w:rPr>
        <w:commentReference w:id="957"/>
      </w:r>
      <w:commentRangeEnd w:id="958"/>
      <w:r w:rsidR="00415F61">
        <w:rPr>
          <w:rStyle w:val="Verwijzingopmerking"/>
          <w:b w:val="0"/>
          <w:bCs w:val="0"/>
        </w:rPr>
        <w:commentReference w:id="958"/>
      </w:r>
      <w:commentRangeEnd w:id="959"/>
      <w:r w:rsidR="00415F61">
        <w:rPr>
          <w:rStyle w:val="Verwijzingopmerking"/>
          <w:b w:val="0"/>
          <w:bCs w:val="0"/>
        </w:rPr>
        <w:commentReference w:id="959"/>
      </w:r>
    </w:p>
    <w:p w14:paraId="765ADC2D" w14:textId="77777777" w:rsidR="00E43714" w:rsidRDefault="00E43714" w:rsidP="00E43714">
      <w:pPr>
        <w:pStyle w:val="Figuur"/>
      </w:pPr>
      <w:r>
        <w:rPr>
          <w:noProof/>
        </w:rPr>
        <w:drawing>
          <wp:inline distT="0" distB="0" distL="0" distR="0" wp14:anchorId="074F7364" wp14:editId="24C03AC1">
            <wp:extent cx="4676775" cy="637446"/>
            <wp:effectExtent l="0" t="0" r="0" b="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936239" cy="672811"/>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3"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