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914" w:name="_Ref_4a2f5e6d8255eaefe13eb2cd53b61896_1"/>
      <w:r>
        <w:lastRenderedPageBreak/>
        <w:t>Juridisch kader</w:t>
      </w:r>
      <w:bookmarkEnd w:id="914"/>
    </w:p>
    <w:p w14:paraId="6D244BCA" w14:textId="6BE998D7" w:rsidR="00112579" w:rsidRDefault="00663D63" w:rsidP="00112579">
      <w:r>
        <w:t>Op de voorbereiding van een omgevingsverordening is afdeling 3.4 Awb van toepassing</w:t>
      </w:r>
      <w:r>
        <w:rPr>
          <w:rStyle w:val="Voetnootmarkering"/>
        </w:rPr>
        <w:footnoteReference w:id="134"/>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35"/>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36"/>
      </w:r>
      <w:r w:rsidR="00112579">
        <w:t xml:space="preserve">. De terinzagelegging vindt niet plaats in het </w:t>
      </w:r>
      <w:r w:rsidR="00595264">
        <w:t>provinciaal blad</w:t>
      </w:r>
      <w:r w:rsidR="00112579">
        <w:rPr>
          <w:rStyle w:val="Voetnootmarkering"/>
        </w:rPr>
        <w:footnoteReference w:id="137"/>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38"/>
      </w:r>
      <w:r>
        <w:t xml:space="preserve"> </w:t>
      </w:r>
      <w:r w:rsidRPr="00676BBD">
        <w:t xml:space="preserve">in het </w:t>
      </w:r>
      <w:r w:rsidR="00595264">
        <w:t>provinciaal blad</w:t>
      </w:r>
      <w:r>
        <w:rPr>
          <w:rStyle w:val="Voetnootmarkering"/>
        </w:rPr>
        <w:footnoteReference w:id="139"/>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40"/>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41"/>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42"/>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43"/>
      </w:r>
      <w:r>
        <w:t>.</w:t>
      </w:r>
    </w:p>
    <w:p w14:paraId="1F787728" w14:textId="77777777" w:rsidR="00AC7FFC" w:rsidRDefault="00AC7FFC" w:rsidP="00112579"/>
    <w:p w14:paraId="24997233" w14:textId="34DA69F1" w:rsidR="00ED0A54" w:rsidRDefault="00112579" w:rsidP="00112579">
      <w:r>
        <w:t xml:space="preserve">Zienswijzen over het ontwerp kunnen </w:t>
      </w:r>
      <w:r w:rsidRPr="00730C98">
        <w:t>naar voren worden gebracht door eenieder</w:t>
      </w:r>
      <w:r>
        <w:rPr>
          <w:rStyle w:val="Voetnootmarkering"/>
        </w:rPr>
        <w:footnoteReference w:id="144"/>
      </w:r>
      <w:r>
        <w:t xml:space="preserve">. De termijn daarvoor bedraagt </w:t>
      </w:r>
      <w:r w:rsidRPr="00090C8F">
        <w:t>zes weken</w:t>
      </w:r>
      <w:r>
        <w:rPr>
          <w:rStyle w:val="Voetnootmarkering"/>
        </w:rPr>
        <w:footnoteReference w:id="145"/>
      </w:r>
      <w:r>
        <w:t>.</w:t>
      </w:r>
    </w:p>
    <w:p w14:paraId="12889E9E" w14:textId="2DBED7BC" w:rsidR="00112579" w:rsidRDefault="00112579" w:rsidP="00112579"/>
    <w:p w14:paraId="1E39E0CD" w14:textId="55A72F8E"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_Ref_d8971ca6ff268e128defcf565cee30c0_1 \n \h </w:instrText>
      </w:r>
      <w:r w:rsidR="00E54FEC">
        <w:fldChar w:fldCharType="separate"/>
      </w:r>
      <w:r w:rsidR="00D33EA9">
        <w:t>10.5.2.2</w:t>
      </w:r>
      <w:r w:rsidR="00E54FEC">
        <w:fldChar w:fldCharType="end"/>
      </w:r>
      <w:r>
        <w:t xml:space="preserve">; de aanlevering van de kennisgeving in paragraaf </w:t>
      </w:r>
      <w:r w:rsidR="00E54FEC">
        <w:fldChar w:fldCharType="begin"/>
      </w:r>
      <w:r w:rsidR="00E54FEC">
        <w:instrText xml:space="preserve"> REF _Ref_a6330dc4a907a4c9fccc2ff4587e706c_1 \n \h </w:instrText>
      </w:r>
      <w:r w:rsidR="00E54FEC">
        <w:fldChar w:fldCharType="separate"/>
      </w:r>
      <w:r w:rsidR="00D33EA9">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_Ref_cebee2867a8d2024358a98098ea3fd86_1 \n \h </w:instrText>
      </w:r>
      <w:r w:rsidR="00E54FEC">
        <w:rPr>
          <w:highlight w:val="yellow"/>
        </w:rPr>
      </w:r>
      <w:r w:rsidR="00E54FEC">
        <w:rPr>
          <w:highlight w:val="yellow"/>
        </w:rPr>
        <w:fldChar w:fldCharType="separate"/>
      </w:r>
      <w:r w:rsidR="00D33EA9">
        <w:t>10.5.2.4</w:t>
      </w:r>
      <w:r w:rsidR="00E54FEC">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