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1059" w:name="_Ref_0cf8570354de666b8084cb7b4fef55e9_1"/>
      <w:r>
        <w:t>Juridisch kader</w:t>
      </w:r>
      <w:bookmarkEnd w:id="1059"/>
    </w:p>
    <w:p w14:paraId="084AA7B6" w14:textId="06A1D211" w:rsidR="00C235A5"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143"/>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144"/>
      </w:r>
      <w:r w:rsidR="00112579">
        <w:t>.</w:t>
      </w:r>
    </w:p>
    <w:p w14:paraId="0F6FBDE0" w14:textId="09047A38" w:rsidR="00C235A5" w:rsidRDefault="00112579" w:rsidP="00112579">
      <w:r w:rsidRPr="001D5AA5">
        <w:lastRenderedPageBreak/>
        <w:t xml:space="preserve">Bij het vaststellen van een </w:t>
      </w:r>
      <w:r w:rsidR="00F74272" w:rsidRPr="00F74272">
        <w:t xml:space="preserve">omgevingsverordening </w:t>
      </w:r>
      <w:r w:rsidRPr="001D5AA5">
        <w:t>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145"/>
      </w:r>
      <w:r w:rsidRPr="001D5AA5">
        <w:t>.</w:t>
      </w:r>
    </w:p>
    <w:p w14:paraId="59F01CEC" w14:textId="4CD3E4A2"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146"/>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147"/>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148"/>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2435CD5E" w14:textId="769FDE4F" w:rsidR="00976570" w:rsidRDefault="00976570" w:rsidP="00976570">
      <w:pPr>
        <w:pStyle w:val="Opsommingtekens1"/>
      </w:pPr>
      <w:r>
        <w:t>het besluit te voorzien van een motivering en die motivering te vermelden bij de bekendmaking van het besluit.</w:t>
      </w:r>
    </w:p>
    <w:p w14:paraId="0BEE91E6" w14:textId="690A2ADF" w:rsidR="00112579" w:rsidRDefault="00583E68" w:rsidP="00112579">
      <w:r w:rsidRPr="008E54A5">
        <w:t xml:space="preserve">Dat er geen wettelijke verplichting geldt, betekent niet dat </w:t>
      </w:r>
      <w:r w:rsidR="00ED6DBC" w:rsidRPr="008E54A5">
        <w:t>de provincie d</w:t>
      </w:r>
      <w:r w:rsidR="00215078" w:rsidRPr="008E54A5">
        <w:t xml:space="preserve">eze zaken </w:t>
      </w:r>
      <w:r w:rsidRPr="008E54A5">
        <w:t>niet kan of niet mag</w:t>
      </w:r>
      <w:r w:rsidR="00215078" w:rsidRPr="008E54A5">
        <w:t xml:space="preserve"> doen</w:t>
      </w:r>
      <w:r w:rsidRPr="008E54A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