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4BB880A1" w14:textId="300ADA18" w:rsidR="00C235A5"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002B7DDA" w:rsidR="00112579" w:rsidRDefault="00112579" w:rsidP="00112579">
      <w:pPr>
        <w:pStyle w:val="Kop6"/>
      </w:pPr>
      <w:commentRangeStart w:id="1063"/>
      <w:r>
        <w:t>BesluitMetadata</w:t>
      </w:r>
      <w:commentRangeEnd w:id="1063"/>
      <w:r w:rsidR="0058326D">
        <w:rPr>
          <w:rStyle w:val="Verwijzingopmerking"/>
          <w:bCs w:val="0"/>
          <w:i w:val="0"/>
        </w:rPr>
        <w:commentReference w:id="1063"/>
      </w:r>
    </w:p>
    <w:p w14:paraId="3F37C164" w14:textId="010B4CA4"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lastRenderedPageBreak/>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503A6ACA" w14:textId="2B5D932D" w:rsidR="00C235A5"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6C1F9861"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0ED295CB" w14:textId="77777777" w:rsidR="00404E8A" w:rsidRDefault="00112579" w:rsidP="00404E8A">
      <w:pPr>
        <w:pStyle w:val="Opsommingtekens1"/>
      </w:pPr>
      <w:r w:rsidRPr="00192998">
        <w:rPr>
          <w:i/>
          <w:iCs/>
        </w:rPr>
        <w:t>citeertitel</w:t>
      </w:r>
      <w:r w:rsidRPr="00192998">
        <w:t xml:space="preserve">: </w:t>
      </w:r>
      <w:r w:rsidR="00045AEC" w:rsidRPr="00192998">
        <w:t xml:space="preserve">geadviseerd wordt om het gegeven citeertitel te gebruiken. </w:t>
      </w:r>
      <w:r w:rsidR="00404E8A">
        <w:t>Pas d</w:t>
      </w:r>
      <w:r w:rsidR="00404E8A" w:rsidRPr="008E1E70">
        <w:t xml:space="preserve">e citeertitel </w:t>
      </w:r>
      <w:r w:rsidR="00404E8A">
        <w:t>als volgt toe:</w:t>
      </w:r>
    </w:p>
    <w:p w14:paraId="3FC949D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5364CC3" w14:textId="1FA4CE98" w:rsidR="00112579" w:rsidRPr="00192998" w:rsidRDefault="00404E8A" w:rsidP="00903BDE">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5CC545C4"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_Ref_f3bb191eac85f95c4601ad4851b70565_1 \n \h </w:instrText>
      </w:r>
      <w:r w:rsidR="00026B12">
        <w:fldChar w:fldCharType="separate"/>
      </w:r>
      <w:r w:rsidR="00C235A5">
        <w:t>Figuur 120</w:t>
      </w:r>
      <w:r w:rsidR="00026B12">
        <w:fldChar w:fldCharType="end"/>
      </w:r>
      <w:r>
        <w:t>:</w:t>
      </w:r>
    </w:p>
    <w:p w14:paraId="195E393E" w14:textId="11C76614" w:rsidR="00112579" w:rsidRDefault="005F77BC" w:rsidP="00112579">
      <w:pPr>
        <w:pStyle w:val="Figuur"/>
      </w:pPr>
      <w:r>
        <w:rPr>
          <w:noProof/>
        </w:rPr>
        <w:lastRenderedPageBreak/>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41"/>
                    <a:stretch>
                      <a:fillRect/>
                    </a:stretch>
                  </pic:blipFill>
                  <pic:spPr>
                    <a:xfrm>
                      <a:off x="0" y="0"/>
                      <a:ext cx="4373162" cy="1488153"/>
                    </a:xfrm>
                    <a:prstGeom prst="rect">
                      <a:avLst/>
                    </a:prstGeom>
                  </pic:spPr>
                </pic:pic>
              </a:graphicData>
            </a:graphic>
          </wp:inline>
        </w:drawing>
      </w:r>
    </w:p>
    <w:p w14:paraId="4EC6BC4A" w14:textId="0CFC14A1" w:rsidR="00112579" w:rsidRDefault="00050EF2" w:rsidP="00112579">
      <w:pPr>
        <w:pStyle w:val="Figuurbijschrift"/>
      </w:pPr>
      <w:bookmarkStart w:id="1064" w:name="_Ref_f3bb191eac85f95c4601ad4851b70565_1"/>
      <w:r>
        <w:t>G</w:t>
      </w:r>
      <w:r w:rsidR="00112579" w:rsidRPr="00243D5C">
        <w:t xml:space="preserve">rondslag voor </w:t>
      </w:r>
      <w:r w:rsidR="007D12AF" w:rsidRPr="007D12AF">
        <w:t>de omgevingsverordening</w:t>
      </w:r>
      <w:bookmarkEnd w:id="1064"/>
    </w:p>
    <w:p w14:paraId="5C8F6E36" w14:textId="316C7912" w:rsidR="00627D8A" w:rsidRPr="00627D8A" w:rsidRDefault="00627D8A" w:rsidP="00627D8A">
      <w:pPr>
        <w:pStyle w:val="Kader"/>
      </w:pPr>
      <w:r w:rsidRPr="00B26823">
        <w:rPr>
          <w:noProof/>
        </w:rPr>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8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LbMAIAAFo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pV8NDa+p3AEHR/sR8VbeN4i/FD48CYeZQH+Y8/CIo9KEouggcVaT+/W3++gPqmDlrMOM&#10;FdxgCTjTPwwovBpNImghKZPp1zE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qlS2z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commentRangeStart w:id="1065"/>
      <w:r>
        <w:t>RegelingMetadata</w:t>
      </w:r>
      <w:commentRangeEnd w:id="1065"/>
      <w:r w:rsidR="0058326D">
        <w:rPr>
          <w:rStyle w:val="Verwijzingopmerking"/>
          <w:bCs w:val="0"/>
          <w:i w:val="0"/>
        </w:rPr>
        <w:commentReference w:id="1065"/>
      </w:r>
    </w:p>
    <w:p w14:paraId="59196251" w14:textId="373D20B3"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2D8197B1" w14:textId="3FE3F1A0" w:rsidR="00C235A5"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5FA53BD0"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432CA569" w14:textId="26B95D85" w:rsidR="00C235A5"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22D27F7E"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92FD109" w14:textId="30457B5A" w:rsidR="00C235A5"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BC21B4E" w14:textId="2A7315D8" w:rsidR="00112579" w:rsidRDefault="00112579" w:rsidP="00112579">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w:t>
      </w:r>
      <w:r w:rsidRPr="0088589B">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FA98801" w14:textId="749A02D6" w:rsidR="00C235A5"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3F2FF152" w14:textId="65D370BE"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654420AE" w:rsidR="00112579" w:rsidRDefault="00112579" w:rsidP="00112579">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t>.</w:t>
      </w:r>
    </w:p>
    <w:p w14:paraId="012649DA" w14:textId="3B28390C"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_Ref_f3bb191eac85f95c4601ad4851b70565_2 \n \h </w:instrText>
      </w:r>
      <w:r w:rsidR="00026B12">
        <w:fldChar w:fldCharType="separate"/>
      </w:r>
      <w:r w:rsidR="00C235A5">
        <w:t>Figuur 121</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1"/>
                    <a:stretch>
                      <a:fillRect/>
                    </a:stretch>
                  </pic:blipFill>
                  <pic:spPr>
                    <a:xfrm>
                      <a:off x="0" y="0"/>
                      <a:ext cx="4325693" cy="1472000"/>
                    </a:xfrm>
                    <a:prstGeom prst="rect">
                      <a:avLst/>
                    </a:prstGeom>
                  </pic:spPr>
                </pic:pic>
              </a:graphicData>
            </a:graphic>
          </wp:inline>
        </w:drawing>
      </w:r>
    </w:p>
    <w:p w14:paraId="57595CDD" w14:textId="2448AE46" w:rsidR="00112579" w:rsidRDefault="00050EF2" w:rsidP="00112579">
      <w:pPr>
        <w:pStyle w:val="Figuurbijschrift"/>
      </w:pPr>
      <w:bookmarkStart w:id="1066" w:name="_Ref_f3bb191eac85f95c4601ad4851b70565_2"/>
      <w:r>
        <w:t>G</w:t>
      </w:r>
      <w:r w:rsidR="00112579" w:rsidRPr="00096EC2">
        <w:t xml:space="preserve">rondslag voor </w:t>
      </w:r>
      <w:r w:rsidR="00191CE2">
        <w:t>de omgevingsverordening</w:t>
      </w:r>
      <w:bookmarkEnd w:id="1066"/>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8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XKoeeLQIAAFsEAAAOAAAAAAAAAAAAAAAAAC4CAABkcnMv&#10;ZTJvRG9jLnhtbFBLAQItABQABgAIAAAAIQDp6wTT3AAAAAUBAAAPAAAAAAAAAAAAAAAAAIcEAABk&#10;cnMvZG93bnJldi54bWxQSwUGAAAAAAQABADzAAAAkAU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w:lastRenderedPageBreak/>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8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KOF2XLwIAAFoEAAAOAAAAAAAAAAAAAAAAAC4CAABkcnMv&#10;ZTJvRG9jLnhtbFBLAQItABQABgAIAAAAIQAt+CFs2gAAAAUBAAAPAAAAAAAAAAAAAAAAAIkEAABk&#10;cnMvZG93bnJldi54bWxQSwUGAAAAAAQABADzAAAAkAU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commentRangeStart w:id="1068"/>
      <w:commentRangeStart w:id="1069"/>
      <w:r>
        <w:t>Procedureverloop</w:t>
      </w:r>
      <w:commentRangeEnd w:id="1068"/>
      <w:r w:rsidR="00EA05CE">
        <w:rPr>
          <w:rStyle w:val="Verwijzingopmerking"/>
          <w:bCs w:val="0"/>
          <w:i w:val="0"/>
        </w:rPr>
        <w:commentReference w:id="1068"/>
      </w:r>
      <w:commentRangeEnd w:id="1069"/>
      <w:r w:rsidR="00EA05CE">
        <w:rPr>
          <w:rStyle w:val="Verwijzingopmerking"/>
          <w:bCs w:val="0"/>
          <w:i w:val="0"/>
        </w:rPr>
        <w:commentReference w:id="1069"/>
      </w:r>
    </w:p>
    <w:p w14:paraId="038B14A8" w14:textId="4541E164"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893AEA">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44FC1516" w14:textId="536BAF19" w:rsidR="00C235A5"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p>
    <w:p w14:paraId="0FD12E1A" w14:textId="15C1D260" w:rsidR="00112579" w:rsidRDefault="00112579" w:rsidP="00112579">
      <w:pPr>
        <w:pStyle w:val="Kop6"/>
      </w:pPr>
      <w:commentRangeStart w:id="1070"/>
      <w:r>
        <w:t>ConsolidatieInformatie</w:t>
      </w:r>
      <w:commentRangeEnd w:id="1070"/>
      <w:r w:rsidR="00EA05CE">
        <w:rPr>
          <w:rStyle w:val="Verwijzingopmerking"/>
          <w:bCs w:val="0"/>
          <w:i w:val="0"/>
        </w:rPr>
        <w:commentReference w:id="1070"/>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lastRenderedPageBreak/>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1071" w:name="_Ref_f3bb191eac85f95c4601ad4851b70565_3"/>
      <w:commentRangeStart w:id="1073"/>
      <w:r>
        <w:t xml:space="preserve">Vervallen voorbeschermingsregels </w:t>
      </w:r>
      <w:commentRangeEnd w:id="1073"/>
      <w:r w:rsidR="00A13A04">
        <w:rPr>
          <w:rStyle w:val="Verwijzingopmerking"/>
          <w:bCs w:val="0"/>
          <w:i w:val="0"/>
        </w:rPr>
        <w:commentReference w:id="1073"/>
      </w:r>
      <w:r>
        <w:t>door inwerkingtreden wijzigingsbesluit</w:t>
      </w:r>
      <w:bookmarkEnd w:id="1071"/>
    </w:p>
    <w:p w14:paraId="0AF865A9" w14:textId="40C5193E" w:rsidR="007A487E" w:rsidRDefault="007A487E" w:rsidP="00EA2E8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extra gegevens de </w:t>
      </w:r>
      <w:r w:rsidRPr="008D790E">
        <w:t xml:space="preserve">provincie </w:t>
      </w:r>
      <w:r>
        <w:t>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1" Type="http://schemas.openxmlformats.org/officeDocument/2006/relationships/image" Target="media/image_6b92257fb69b2c4ca5af58eb7dca4e5e.png"/><Relationship Id="rId141"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