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r>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20E6D663" w14:textId="3EA2BE9D" w:rsidR="00ED0A54"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52BB5A06"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8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GyLwIAAFs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giB+463UBwJCAenGfFWrmqKvxYeX4SjoaAGadDxmY5SAxUFZ4mzCtyvv90Hf+KKrJy1NGQ5&#10;N7QFnOnvhjj8MhwH1DAq48nnESnu1rK9tZh9swTqc0gLZWUUgz/qXiwdNG+0DYuQk0zCSMqcc+zF&#10;JZ4Gn7ZJqsUiOtEUWoFrs7EyhO5Rfe3ehLNntpCIfoJ+GEX2jrSTb3jp7WKPRF1kNMB8wvSMPk1w&#10;JOe8bWFFbvXodf0nzH8D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Hs8UbIvAgAAWwQAAA4AAAAAAAAAAAAAAAAALgIAAGRy&#10;cy9lMm9Eb2MueG1sUEsBAi0AFAAGAAgAAAAhAMoLNwHcAAAABQEAAA8AAAAAAAAAAAAAAAAAiQQA&#10;AGRycy9kb3ducmV2LnhtbFBLBQYAAAAABAAEAPMAAACSBQ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20E6D663" w14:textId="3EA2BE9D" w:rsidR="00ED0A54"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52BB5A06"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