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45"/>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1BA787A7" w:rsidR="00440967" w:rsidRPr="00024275" w:rsidRDefault="00440967" w:rsidP="00440967">
      <w:r>
        <w:t xml:space="preserve">Zoals in paragraaf </w:t>
      </w:r>
      <w:r>
        <w:fldChar w:fldCharType="begin"/>
      </w:r>
      <w:r>
        <w:instrText xml:space="preserve"> REF _Ref_03de3d12c51a2f88bf35eaa81bbb6c64_1 \n \h </w:instrText>
      </w:r>
      <w:r>
        <w:fldChar w:fldCharType="separate"/>
      </w:r>
      <w:r w:rsidR="00D33EA9">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002327A4">
        <w:t>’</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