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962" w:name="_Ref_f735891e50491f5f7303ca58a92c153a_1"/>
      <w:r>
        <w:t>Juridisch kader</w:t>
      </w:r>
      <w:bookmarkEnd w:id="962"/>
    </w:p>
    <w:p w14:paraId="688A792C" w14:textId="0236E205" w:rsidR="00440967"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57"/>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58"/>
      </w:r>
      <w:r w:rsidR="00440967">
        <w:t xml:space="preserve">. </w:t>
      </w:r>
    </w:p>
    <w:p w14:paraId="23576DF2" w14:textId="0CA0570C" w:rsidR="00440967" w:rsidRDefault="00440967" w:rsidP="00440967">
      <w:r w:rsidRPr="001D5AA5">
        <w:t xml:space="preserve">Bij het vaststellen van een </w:t>
      </w:r>
      <w:r w:rsidR="00433187">
        <w:t>waterschapsverordening</w:t>
      </w:r>
      <w:r w:rsidRPr="00F74272">
        <w:t xml:space="preserve">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159"/>
      </w:r>
      <w:r w:rsidRPr="001D5AA5">
        <w:t>.</w:t>
      </w:r>
      <w:r>
        <w:t xml:space="preserve"> </w:t>
      </w:r>
    </w:p>
    <w:p w14:paraId="6C219209" w14:textId="6CE1FAD7"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60"/>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61"/>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62"/>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lastRenderedPageBreak/>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