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1117" w:name="_Ref_1e6fc56d424c68a015175a43d670db9b_1"/>
      <w:r>
        <w:t>Juridisch kader</w:t>
      </w:r>
      <w:bookmarkEnd w:id="1117"/>
    </w:p>
    <w:p w14:paraId="3A0BB1DB" w14:textId="4E00750A" w:rsidR="00C235A5"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164"/>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165"/>
      </w:r>
      <w:r w:rsidR="00440967">
        <w:t>.</w:t>
      </w:r>
    </w:p>
    <w:p w14:paraId="4522B242" w14:textId="0296CE7D" w:rsidR="00C235A5" w:rsidRDefault="00440967" w:rsidP="00440967">
      <w:r w:rsidRPr="001D5AA5">
        <w:lastRenderedPageBreak/>
        <w:t xml:space="preserve">Bij het vaststellen van een </w:t>
      </w:r>
      <w:r w:rsidR="00433187">
        <w:t>waterschapsverordening</w:t>
      </w:r>
      <w:r w:rsidRPr="00F74272">
        <w:t xml:space="preserve"> </w:t>
      </w:r>
      <w:r w:rsidRPr="001D5AA5">
        <w:t>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166"/>
      </w:r>
      <w:r w:rsidRPr="001D5AA5">
        <w:t>.</w:t>
      </w:r>
    </w:p>
    <w:p w14:paraId="6C219209" w14:textId="5F1D60D8" w:rsidR="00440967" w:rsidRDefault="00440967" w:rsidP="00440967">
      <w:r w:rsidRPr="000A4423">
        <w:t xml:space="preserve">(Het besluit tot </w:t>
      </w:r>
      <w:r w:rsidR="008876D3" w:rsidRPr="008876D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167"/>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168"/>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169"/>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5DE0A273"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bekendmaking van het </w:t>
      </w:r>
      <w:r w:rsidR="00433187">
        <w:t xml:space="preserve">besluit tot </w:t>
      </w:r>
      <w:r w:rsidR="00324B7C" w:rsidRPr="00324B7C">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193224C2" w14:textId="472540EF" w:rsidR="005479C3" w:rsidRDefault="00297CC3" w:rsidP="00440967">
      <w:r w:rsidRPr="009A7D82">
        <w:t xml:space="preserve">Dat er geen wettelijke verplichting geldt, betekent niet dat </w:t>
      </w:r>
      <w:r w:rsidR="0062028C" w:rsidRPr="009A7D82">
        <w:t>het waterschap</w:t>
      </w:r>
      <w:r w:rsidRPr="009A7D82">
        <w:t xml:space="preserve"> deze zaken niet kan of niet mag doen.</w:t>
      </w:r>
    </w:p>
    <w:p w14:paraId="2B84646A" w14:textId="77777777" w:rsidR="008520D3" w:rsidRDefault="008520D3" w:rsidP="00440967"/>
    <w:p w14:paraId="27BAB2DE" w14:textId="0AEEA8F3" w:rsidR="00440967" w:rsidRDefault="005479C3" w:rsidP="00440967">
      <w:r>
        <w:t xml:space="preserve">Uit het systeem van de wet vloeit voort dat </w:t>
      </w:r>
      <w:r w:rsidR="008520D3">
        <w:t xml:space="preserve">een besluit tot </w:t>
      </w:r>
      <w:r w:rsidR="007E2703">
        <w:t>vaststelling</w:t>
      </w:r>
      <w:r w:rsidR="008520D3">
        <w:t xml:space="preserve"> of wijziging van </w:t>
      </w:r>
      <w:r>
        <w:t xml:space="preserve">de waterschapsverordening niet eerder in werking kan treden </w:t>
      </w:r>
      <w:r w:rsidR="00F30890" w:rsidRPr="00F30890">
        <w:t>dan de dag waarop de Omgevingswet in werking treedt.</w:t>
      </w:r>
      <w:r w:rsidR="00F30890">
        <w:t xml:space="preserve"> </w:t>
      </w:r>
      <w:r w:rsidR="00F30890" w:rsidRPr="00F30890">
        <w:t xml:space="preserve">De voorbereiding van </w:t>
      </w:r>
      <w:r w:rsidR="008520D3">
        <w:t xml:space="preserve">dat </w:t>
      </w:r>
      <w:r w:rsidR="00F30890" w:rsidRPr="00F30890">
        <w:t>besluit, inclusief de vaststelling</w:t>
      </w:r>
      <w:r w:rsidR="008520D3">
        <w:t xml:space="preserve"> en bekendmaking</w:t>
      </w:r>
      <w:r w:rsidR="00F30890" w:rsidRPr="00F30890">
        <w:t>, kan wel voor inwerkingtreden van de Omgevingswet plaatsvinden.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