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45B1366B" w14:textId="4EE29C0A" w:rsidR="00ED0A54"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3A8188F4"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_Ref_bbad063aa1e85c4c594f1efe36519292_2 \n \h </w:instrText>
      </w:r>
      <w:r>
        <w:fldChar w:fldCharType="separate"/>
      </w:r>
      <w:r w:rsidR="00D33EA9">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D33EA9">
        <w:t>4.4.2.2</w:t>
      </w:r>
      <w:r>
        <w:fldChar w:fldCharType="end"/>
      </w:r>
      <w:r>
        <w:t>.</w:t>
      </w:r>
    </w:p>
    <w:p w14:paraId="50C6BF53" w14:textId="651FDA89" w:rsidR="00BE47EA" w:rsidRDefault="00BE47EA" w:rsidP="00440967">
      <w:r w:rsidRPr="009A7D82">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 xml:space="preserve">sverordening te voorzien van een deugdelijke motivering en die motivering te </w:t>
      </w:r>
      <w:r w:rsidRPr="009A7D82">
        <w:lastRenderedPageBreak/>
        <w:t>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