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C7370E" w:rsidRDefault="00C7370E" w:rsidP="00C7370E">
      <w:pPr>
        <w:pStyle w:val="Kop5"/>
      </w:pPr>
      <w:r>
        <w:t>Consolidatieplicht</w:t>
      </w:r>
    </w:p>
    <w:p w14:paraId="6E324266" w14:textId="6D80A211" w:rsidR="00C7370E" w:rsidRDefault="00C7370E"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163"/>
      </w:r>
      <w:r>
        <w:t xml:space="preserve"> op de door de minister van BZK </w:t>
      </w:r>
      <w:r w:rsidRPr="00EB6A94">
        <w:t>in stand gehouden digitale infrastructuur</w:t>
      </w:r>
      <w:r>
        <w:rPr>
          <w:rStyle w:val="Voetnootmarkering"/>
        </w:rPr>
        <w:footnoteReference w:id="164"/>
      </w:r>
      <w:r>
        <w:t xml:space="preserve">: de lokale regelingenbanken op overheid.nl. </w:t>
      </w:r>
      <w:r w:rsidRPr="00565ACD">
        <w:t>Te consolideren wijzigingen in een algemeen verbindend voorschrift kunnen als bron hebbe</w:t>
      </w:r>
      <w:r>
        <w:t>n</w:t>
      </w:r>
      <w:r>
        <w:rPr>
          <w:rStyle w:val="Voetnootmarkering"/>
        </w:rPr>
        <w:footnoteReference w:id="165"/>
      </w:r>
      <w:r>
        <w:t>:</w:t>
      </w:r>
    </w:p>
    <w:p w14:paraId="192A237D" w14:textId="77777777" w:rsidR="00C7370E" w:rsidRDefault="00C7370E" w:rsidP="00C7370E">
      <w:pPr>
        <w:pStyle w:val="Opsommingtekens1"/>
      </w:pPr>
      <w:r>
        <w:t>Een wijzigingsopdracht in een nieuw algemeen verbindend voorschrift (lees: een wijzigingsbesluit); of</w:t>
      </w:r>
    </w:p>
    <w:p w14:paraId="00A04390" w14:textId="77777777" w:rsidR="00C7370E" w:rsidRDefault="00C7370E" w:rsidP="00C7370E">
      <w:pPr>
        <w:pStyle w:val="Opsommingtekens1"/>
      </w:pPr>
      <w:r>
        <w:t>een rechterlijke uitspraak die wordt gepubliceerd in het publicatieblad overeenkomstig artikel 8:80 Awb.</w:t>
      </w:r>
    </w:p>
    <w:p w14:paraId="27BD9B92" w14:textId="221AA63E" w:rsidR="00C7370E" w:rsidRDefault="00C7370E"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