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984" w:name="_Ref_d9e7abe9fb6db0d67560ef37fc2a3cd9_1"/>
      <w:r>
        <w:t>K</w:t>
      </w:r>
      <w:r w:rsidR="00F57AE4">
        <w:t>ennisgeving</w:t>
      </w:r>
      <w:bookmarkEnd w:id="984"/>
      <w:r>
        <w:t xml:space="preserve"> ontwerpbesluit</w:t>
      </w:r>
    </w:p>
    <w:p w14:paraId="3C811F89" w14:textId="39E7BEEA" w:rsidR="00C10D64" w:rsidRDefault="008944ED" w:rsidP="00001938">
      <w:pPr>
        <w:pStyle w:val="Kop6"/>
      </w:pPr>
      <w:r w:rsidRPr="008944ED">
        <w:t>Inhoud en aanlevering kennisgeving</w:t>
      </w:r>
    </w:p>
    <w:p w14:paraId="13880713" w14:textId="5F067F12" w:rsidR="00F57AE4" w:rsidRDefault="00F57AE4" w:rsidP="00F57AE4">
      <w:r>
        <w:t xml:space="preserve">Zoals in paragraaf </w:t>
      </w:r>
      <w:r w:rsidR="00364A5D">
        <w:fldChar w:fldCharType="begin"/>
      </w:r>
      <w:r w:rsidR="00364A5D">
        <w:instrText xml:space="preserve"> REF _Ref_c52d9ebaea6c77335789c1ad0154622a_1 \n \h </w:instrText>
      </w:r>
      <w:r w:rsidR="00364A5D">
        <w:fldChar w:fldCharType="separate"/>
      </w:r>
      <w:r w:rsidR="002D10A5">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349D3C84" w14:textId="68D2FD7C" w:rsidR="00F57AE4"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_Ref_c70ad9b2a3c05c5399164c6dc8413940_5 \n \h </w:instrText>
      </w:r>
      <w:r w:rsidR="00DE6B1E">
        <w:fldChar w:fldCharType="separate"/>
      </w:r>
      <w:r w:rsidR="002D10A5">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4A700C1E" w14:textId="76FA2CD8"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lastRenderedPageBreak/>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r>
        <w:t>Kennisgevingmetadata</w:t>
      </w:r>
    </w:p>
    <w:p w14:paraId="15E610C1" w14:textId="775C3A3E"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r>
        <w:t>Procedureverloop</w:t>
      </w:r>
    </w:p>
    <w:p w14:paraId="3F1D99DA" w14:textId="5553CA76"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1068FBC3" w:rsidR="00446838" w:rsidRPr="007A0873" w:rsidRDefault="00446838" w:rsidP="00446838">
      <w:r w:rsidRPr="007A0873">
        <w:t xml:space="preserve">Zoals in paragraaf </w:t>
      </w:r>
      <w:r>
        <w:fldChar w:fldCharType="begin"/>
      </w:r>
      <w:r>
        <w:instrText xml:space="preserve"> REF _Ref_b3e0358824fceedc599b95bc6218961c_4 \n \h </w:instrText>
      </w:r>
      <w:r>
        <w:fldChar w:fldCharType="separate"/>
      </w:r>
      <w:r w:rsidR="002D10A5">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lastRenderedPageBreak/>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546837A8" w:rsidR="00F57AE4" w:rsidRDefault="00F57AE4" w:rsidP="00001938">
      <w:pPr>
        <w:pStyle w:val="Kader"/>
      </w:pP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