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FEDDB" w14:textId="77777777" w:rsidR="00E4589E" w:rsidRDefault="00E4589E" w:rsidP="00E4589E">
      <w:pPr>
        <w:pStyle w:val="Kop5"/>
      </w:pPr>
      <w:r>
        <w:t>Terinzageleggen</w:t>
      </w:r>
      <w:r w:rsidRPr="001D53C2">
        <w:t xml:space="preserve"> op </w:t>
      </w:r>
      <w:r>
        <w:t>de zaak</w:t>
      </w:r>
      <w:r w:rsidRPr="001D53C2">
        <w:t xml:space="preserve"> betrekking hebbende stukken</w:t>
      </w:r>
    </w:p>
    <w:p w14:paraId="4332B121" w14:textId="664967D6" w:rsidR="00E4589E" w:rsidRDefault="00536838" w:rsidP="00E4589E">
      <w:r>
        <w:t xml:space="preserve">In paragraaf </w:t>
      </w:r>
      <w:r w:rsidR="000F6218">
        <w:fldChar w:fldCharType="begin"/>
      </w:r>
      <w:r w:rsidR="000F6218">
        <w:instrText xml:space="preserve"> REF _Ref_5c2b587fd7741c3f47a90ce91ab09c6a_1 \n \h </w:instrText>
      </w:r>
      <w:r w:rsidR="000F6218">
        <w:fldChar w:fldCharType="separate"/>
      </w:r>
      <w:r w:rsidR="00D33EA9">
        <w:t>10.7.3.1</w:t>
      </w:r>
      <w:r w:rsidR="000F6218">
        <w:fldChar w:fldCharType="end"/>
      </w:r>
      <w:r>
        <w:t xml:space="preserve"> is al aangegeven dat er voor de omgevingsv</w:t>
      </w:r>
      <w:r w:rsidR="000F6218">
        <w:t xml:space="preserve">isie </w:t>
      </w:r>
      <w:r>
        <w:t xml:space="preserve">geen wettelijke verplichting </w:t>
      </w:r>
      <w:r w:rsidRPr="00A36739">
        <w:t>geld</w:t>
      </w:r>
      <w:r>
        <w:t>t</w:t>
      </w:r>
      <w:r w:rsidRPr="00A36739">
        <w:t xml:space="preserve"> </w:t>
      </w:r>
      <w:r>
        <w:t>om op de zaak betrekking hebbende stukken ter inzage te leggen. Mogelijk is er bij een besluit tot vaststelling of wijziging van een omgevingsv</w:t>
      </w:r>
      <w:r w:rsidR="000F6218">
        <w:t>isie</w:t>
      </w:r>
      <w:r>
        <w:t xml:space="preserve"> </w:t>
      </w:r>
      <w:r w:rsidRPr="003B631F">
        <w:t xml:space="preserve">niet vaak </w:t>
      </w:r>
      <w:r>
        <w:t xml:space="preserve">sprake van </w:t>
      </w:r>
      <w:r w:rsidRPr="00C20C68">
        <w:t>op de zaak betrekking hebbende stukken</w:t>
      </w:r>
      <w:r>
        <w:t xml:space="preserve">, die doorgaans bestaan </w:t>
      </w:r>
      <w:r w:rsidRPr="00FA5659">
        <w:t>uit rapportages van uitgevoerde onderzoeken</w:t>
      </w:r>
      <w:r>
        <w:t xml:space="preserve">. Wanneer dat wel het geval is, kan </w:t>
      </w:r>
      <w:r w:rsidR="000F6218">
        <w:t xml:space="preserve">gemeente, </w:t>
      </w:r>
      <w:r>
        <w:t xml:space="preserve">provincie </w:t>
      </w:r>
      <w:r w:rsidR="000F6218">
        <w:t xml:space="preserve">of Rijk </w:t>
      </w:r>
      <w:r>
        <w:t xml:space="preserve">er, ondanks het ontbreken van een wettelijke verplichting, voor kiezen om die stukken ter inzage te leggen. Die terinzagelegging kan dan </w:t>
      </w:r>
      <w:r w:rsidRPr="00C67A8F">
        <w:t>elektronisch</w:t>
      </w:r>
      <w:r>
        <w:t xml:space="preserve"> en/of </w:t>
      </w:r>
      <w:r w:rsidRPr="00C67A8F">
        <w:t>op een fysieke locatie</w:t>
      </w:r>
      <w:r>
        <w:t xml:space="preserve"> plaatsvinden. Als </w:t>
      </w:r>
      <w:r w:rsidR="000F6218" w:rsidRPr="000F6218">
        <w:t xml:space="preserve">gemeente, provincie of Rijk </w:t>
      </w:r>
      <w:r>
        <w:t>daarvoor kiest, zal zij</w:t>
      </w:r>
      <w:r w:rsidR="000F6218">
        <w:t>/hij</w:t>
      </w:r>
      <w:r>
        <w:t xml:space="preserve"> ook kennis moeten geven van die terinzagelegging. Bij een besluit tot vaststelling of wijziging van een omgevingsv</w:t>
      </w:r>
      <w:r w:rsidR="000F6218">
        <w:t>isie</w:t>
      </w:r>
      <w:r>
        <w:t xml:space="preserve"> wordt immers geen kennisgeving gedaan van de </w:t>
      </w:r>
      <w:r w:rsidRPr="008621C2">
        <w:t>vaststelling of inwerkingtreding</w:t>
      </w:r>
      <w:r>
        <w:t xml:space="preserve"> van dat besluit waarmee de kennisgeving van terinzagelegging van op de zaak betrekking hebbende stukken gecombineerd zou kunnen worden</w:t>
      </w:r>
      <w:r w:rsidRPr="008621C2">
        <w:t>.</w:t>
      </w:r>
      <w:r>
        <w:t xml:space="preserve"> De kennisgeving van de terinzagelegging van de </w:t>
      </w:r>
      <w:r w:rsidRPr="00004C00">
        <w:t>op de zaak betrekking hebbende stukken</w:t>
      </w:r>
      <w:r>
        <w:t xml:space="preserve"> is het onderwerp van de volgende paragraaf.</w:t>
      </w:r>
    </w:p>
    <w:p w14:paraId="0AC2080C" w14:textId="77777777" w:rsidR="00E4589E" w:rsidRDefault="00E4589E" w:rsidP="00E4589E">
      <w:pPr>
        <w:pStyle w:val="Kader"/>
      </w:pPr>
      <w:r w:rsidRPr="00B26823">
        <w:rPr>
          <w:noProof/>
        </w:rPr>
        <w:lastRenderedPageBreak/>
        <mc:AlternateContent>
          <mc:Choice Requires="wps">
            <w:drawing>
              <wp:inline distT="0" distB="0" distL="0" distR="0" wp14:anchorId="50BB771F" wp14:editId="42D5B408">
                <wp:extent cx="5400040" cy="985631"/>
                <wp:effectExtent l="0" t="0" r="22860" b="22860"/>
                <wp:docPr id="35" name="Tekstvak 35"/>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7AB1EEFD" w14:textId="77777777" w:rsidR="00E4589E" w:rsidRPr="00D80A79" w:rsidRDefault="00E4589E" w:rsidP="00E4589E">
                            <w:pPr>
                              <w:rPr>
                                <w:b/>
                                <w:bCs/>
                              </w:rPr>
                            </w:pPr>
                            <w:r w:rsidRPr="00D80A79">
                              <w:rPr>
                                <w:b/>
                                <w:bCs/>
                              </w:rPr>
                              <w:t>Toekomstige functionaliteit</w:t>
                            </w:r>
                          </w:p>
                          <w:p w14:paraId="0F922F2B" w14:textId="54DC14E7" w:rsidR="003B1642" w:rsidRDefault="003B1642" w:rsidP="003B1642">
                            <w:r>
                              <w:t xml:space="preserve">Onderzocht wordt of in de toekomst voor </w:t>
                            </w:r>
                            <w:r w:rsidRPr="00754224">
                              <w:t xml:space="preserve">de elektronische terinzagelegging van </w:t>
                            </w:r>
                            <w:r>
                              <w:t xml:space="preserve">stukken die betrekking hebben </w:t>
                            </w:r>
                            <w:r w:rsidRPr="00754224">
                              <w:t xml:space="preserve">op het (ontwerp)besluit </w:t>
                            </w:r>
                            <w:r>
                              <w:t xml:space="preserve">van omgevingsdocumenten gebruik gemaakt kan worden van een nog te ontwikkelen centrale voorziening voor het ontsluiten van dergelijke stukken in het kader van de Wet open overheid en de Bekendmakingswet. Wanneer duidelijk is of voor deze stukken gebruik gemaakt kan worden van een </w:t>
                            </w:r>
                            <w:r w:rsidRPr="00872BBA">
                              <w:t>centrale voorziening</w:t>
                            </w:r>
                            <w:r>
                              <w:t xml:space="preserve">, welke voorziening dat is en hoe de aanlevering moet plaatsvinden, zal dat in </w:t>
                            </w:r>
                            <w:r w:rsidRPr="003A2F50">
                              <w:t>een volgende versie van dit toepassingsprofiel beschreven</w:t>
                            </w:r>
                            <w:r>
                              <w:t xml:space="preserve"> worden.</w:t>
                            </w:r>
                          </w:p>
                          <w:p w14:paraId="76284282" w14:textId="77777777" w:rsidR="003B1642" w:rsidRDefault="003B1642" w:rsidP="003B1642"/>
                          <w:p w14:paraId="018C76C8" w14:textId="77777777" w:rsidR="003B1642" w:rsidRPr="006971CB" w:rsidRDefault="003B1642" w:rsidP="003B1642">
                            <w:pPr>
                              <w:rPr>
                                <w:b/>
                                <w:bCs/>
                              </w:rPr>
                            </w:pPr>
                            <w:r w:rsidRPr="006971CB">
                              <w:rPr>
                                <w:b/>
                                <w:bCs/>
                              </w:rPr>
                              <w:t>Workaround</w:t>
                            </w:r>
                          </w:p>
                          <w:p w14:paraId="04B58C62" w14:textId="10863070" w:rsidR="003B1642" w:rsidRDefault="003B1642" w:rsidP="003B1642">
                            <w:r>
                              <w:t xml:space="preserve">Zolang er geen centrale voorziening is voor </w:t>
                            </w:r>
                            <w:r w:rsidRPr="00224DF5">
                              <w:t xml:space="preserve">de elektronische terinzagelegging van op het </w:t>
                            </w:r>
                            <w:r>
                              <w:t>(ontwerp)</w:t>
                            </w:r>
                            <w:r w:rsidRPr="00224DF5">
                              <w:t>besluit betrekking hebbende stukken</w:t>
                            </w:r>
                            <w:r>
                              <w:t xml:space="preserve">, past het bevoegd gezag naar keuze één van de volgende </w:t>
                            </w:r>
                            <w:r w:rsidR="00A939B7" w:rsidRPr="00A939B7">
                              <w:t xml:space="preserve">methoden </w:t>
                            </w:r>
                            <w:r>
                              <w:t>toe:</w:t>
                            </w:r>
                          </w:p>
                          <w:p w14:paraId="43D74825" w14:textId="77777777" w:rsidR="003B1642" w:rsidRDefault="003B1642" w:rsidP="003B1642">
                            <w:pPr>
                              <w:pStyle w:val="Opsommingtekens1"/>
                            </w:pPr>
                            <w:r>
                              <w:t xml:space="preserve">het ontsluit </w:t>
                            </w:r>
                            <w:r w:rsidRPr="00911A9C">
                              <w:t xml:space="preserve">de betreffende stukken op een zelf te bepalen elektronische wijze, bijvoorbeeld via de eigen website, </w:t>
                            </w:r>
                            <w:r>
                              <w:t>of</w:t>
                            </w:r>
                          </w:p>
                          <w:p w14:paraId="34F78FC9" w14:textId="77777777" w:rsidR="003B1642" w:rsidRDefault="003B1642" w:rsidP="003B1642">
                            <w:pPr>
                              <w:pStyle w:val="Opsommingtekens1"/>
                            </w:pPr>
                            <w:r>
                              <w:t xml:space="preserve">het levert </w:t>
                            </w:r>
                            <w:r w:rsidRPr="00506285">
                              <w:t xml:space="preserve">de betreffende stukken </w:t>
                            </w:r>
                            <w:r w:rsidRPr="00D31876">
                              <w:t xml:space="preserve">aan de LVBB </w:t>
                            </w:r>
                            <w:r>
                              <w:t xml:space="preserve">aan </w:t>
                            </w:r>
                            <w:r w:rsidRPr="00506285">
                              <w:t>als onderdeel van het Besluit conform STOP</w:t>
                            </w:r>
                            <w:r>
                              <w:t>. Daarbij moet worden voldaan aan de eisen aan PDF-bijlagen die in dit hoofdstuk zijn beschreven. De LVBB stelt beperkingen aan de bestandsgrootte.</w:t>
                            </w:r>
                          </w:p>
                          <w:p w14:paraId="1853F288" w14:textId="77777777" w:rsidR="003B1642" w:rsidRDefault="003B1642" w:rsidP="003B1642"/>
                          <w:p w14:paraId="176BE45F" w14:textId="47C3603D" w:rsidR="00E4589E" w:rsidRDefault="000666A4" w:rsidP="003B1642">
                            <w:r w:rsidRPr="000666A4">
                              <w:t xml:space="preserve">Op het besluit betrekking hebbende stukken zijn stukken waarmee het bestuursorgaan het besluit onderbouwt en motiveert. Wanneer het bevoegd gezag zelf de stukken op elektronische wijze ontsluit, neemt het in het onderdeel Motivering dan wel </w:t>
                            </w:r>
                            <w:r w:rsidR="0084171E" w:rsidRPr="0084171E">
                              <w:t>in het onderdeel</w:t>
                            </w:r>
                            <w:r w:rsidRPr="000666A4">
                              <w:t xml:space="preserve"> Toelichting</w:t>
                            </w:r>
                            <w:r w:rsidR="0018576A">
                              <w:t xml:space="preserve"> </w:t>
                            </w:r>
                            <w:r w:rsidRPr="000666A4">
                              <w:t>van het Besluit een link op naar de webpagina waar die stukken zijn ontsloten, en/of een link naar het betreffende stuk op die webpagina. Wanneer het bevoegd gezag de stukken opneemt als onderdeel van het Besluit, neemt het ze op als Bijlagen bij de Motivering dan wel de Toelichting.</w:t>
                            </w:r>
                          </w:p>
                          <w:p w14:paraId="4B99FAF9" w14:textId="2AA0A1DC" w:rsidR="00085810" w:rsidRPr="0022671B" w:rsidRDefault="00085810" w:rsidP="00701B57">
                            <w:r w:rsidRPr="00085810">
                              <w:t>Wanneer het bevoegd gezag zelf de stukken op elektronische wijze ontsluit, wordt aanbevolen om de terinzagelegging op elektronische wijze van de op het ontwerpbesluit betrekking hebbende stukken en de op het (definitieve) besluit betrekking hebbende stukken in ieder geval te laten voortduren totdat de volledige procedure is afgerond.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50BB771F" id="Tekstvak 35" o:spid="_x0000_s1108"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" filled="f" strokeweight=".5pt">
                <v:textbox style="mso-fit-shape-to-text:t">
                  <w:txbxContent>
                    <w:p w14:paraId="7AB1EEFD" w14:textId="77777777" w:rsidR="00E4589E" w:rsidRPr="00D80A79" w:rsidRDefault="00E4589E" w:rsidP="00E4589E">
                      <w:pPr>
                        <w:rPr>
                          <w:b/>
                          <w:bCs/>
                        </w:rPr>
                      </w:pPr>
                      <w:r w:rsidRPr="00D80A79">
                        <w:rPr>
                          <w:b/>
                          <w:bCs/>
                        </w:rPr>
                        <w:t>Toekomstige functionaliteit</w:t>
                      </w:r>
                    </w:p>
                    <w:p w14:paraId="0F922F2B" w14:textId="54DC14E7" w:rsidR="003B1642" w:rsidRDefault="003B1642" w:rsidP="003B1642">
                      <w:r>
                        <w:t xml:space="preserve">Onderzocht wordt of in de toekomst voor </w:t>
                      </w:r>
                      <w:r w:rsidRPr="00754224">
                        <w:t xml:space="preserve">de elektronische terinzagelegging van </w:t>
                      </w:r>
                      <w:r>
                        <w:t xml:space="preserve">stukken die betrekking hebben </w:t>
                      </w:r>
                      <w:r w:rsidRPr="00754224">
                        <w:t xml:space="preserve">op het (ontwerp)besluit </w:t>
                      </w:r>
                      <w:r>
                        <w:t xml:space="preserve">van omgevingsdocumenten gebruik gemaakt kan worden van een nog te ontwikkelen centrale voorziening voor het ontsluiten van dergelijke stukken in het kader van de Wet open overheid en de Bekendmakingswet. Wanneer duidelijk is of voor deze stukken gebruik gemaakt kan worden van een </w:t>
                      </w:r>
                      <w:r w:rsidRPr="00872BBA">
                        <w:t>centrale voorziening</w:t>
                      </w:r>
                      <w:r>
                        <w:t xml:space="preserve">, welke voorziening dat is en hoe de aanlevering moet plaatsvinden, zal dat in </w:t>
                      </w:r>
                      <w:r w:rsidRPr="003A2F50">
                        <w:t>een volgende versie van dit toepassingsprofiel beschreven</w:t>
                      </w:r>
                      <w:r>
                        <w:t xml:space="preserve"> worden.</w:t>
                      </w:r>
                    </w:p>
                    <w:p w14:paraId="76284282" w14:textId="77777777" w:rsidR="003B1642" w:rsidRDefault="003B1642" w:rsidP="003B1642"/>
                    <w:p w14:paraId="018C76C8" w14:textId="77777777" w:rsidR="003B1642" w:rsidRPr="006971CB" w:rsidRDefault="003B1642" w:rsidP="003B1642">
                      <w:pPr>
                        <w:rPr>
                          <w:b/>
                          <w:bCs/>
                        </w:rPr>
                      </w:pPr>
                      <w:r w:rsidRPr="006971CB">
                        <w:rPr>
                          <w:b/>
                          <w:bCs/>
                        </w:rPr>
                        <w:t>Workaround</w:t>
                      </w:r>
                    </w:p>
                    <w:p w14:paraId="04B58C62" w14:textId="10863070" w:rsidR="003B1642" w:rsidRDefault="003B1642" w:rsidP="003B1642">
                      <w:r>
                        <w:t xml:space="preserve">Zolang er geen centrale voorziening is voor </w:t>
                      </w:r>
                      <w:r w:rsidRPr="00224DF5">
                        <w:t xml:space="preserve">de elektronische terinzagelegging van op het </w:t>
                      </w:r>
                      <w:r>
                        <w:t>(ontwerp)</w:t>
                      </w:r>
                      <w:r w:rsidRPr="00224DF5">
                        <w:t>besluit betrekking hebbende stukken</w:t>
                      </w:r>
                      <w:r>
                        <w:t xml:space="preserve">, past het bevoegd gezag naar keuze één van de volgende </w:t>
                      </w:r>
                      <w:r w:rsidR="00A939B7" w:rsidRPr="00A939B7">
                        <w:t xml:space="preserve">methoden </w:t>
                      </w:r>
                      <w:r>
                        <w:t>toe:</w:t>
                      </w:r>
                    </w:p>
                    <w:p w14:paraId="43D74825" w14:textId="77777777" w:rsidR="003B1642" w:rsidRDefault="003B1642" w:rsidP="003B1642">
                      <w:pPr>
                        <w:pStyle w:val="Opsommingtekens1"/>
                      </w:pPr>
                      <w:r>
                        <w:t xml:space="preserve">het ontsluit </w:t>
                      </w:r>
                      <w:r w:rsidRPr="00911A9C">
                        <w:t xml:space="preserve">de betreffende stukken op een zelf te bepalen elektronische wijze, bijvoorbeeld via de eigen website, </w:t>
                      </w:r>
                      <w:r>
                        <w:t>of</w:t>
                      </w:r>
                    </w:p>
                    <w:p w14:paraId="34F78FC9" w14:textId="77777777" w:rsidR="003B1642" w:rsidRDefault="003B1642" w:rsidP="003B1642">
                      <w:pPr>
                        <w:pStyle w:val="Opsommingtekens1"/>
                      </w:pPr>
                      <w:r>
                        <w:t xml:space="preserve">het levert </w:t>
                      </w:r>
                      <w:r w:rsidRPr="00506285">
                        <w:t xml:space="preserve">de betreffende stukken </w:t>
                      </w:r>
                      <w:r w:rsidRPr="00D31876">
                        <w:t xml:space="preserve">aan de LVBB </w:t>
                      </w:r>
                      <w:r>
                        <w:t xml:space="preserve">aan </w:t>
                      </w:r>
                      <w:r w:rsidRPr="00506285">
                        <w:t>als onderdeel van het Besluit conform STOP</w:t>
                      </w:r>
                      <w:r>
                        <w:t>. Daarbij moet worden voldaan aan de eisen aan PDF-bijlagen die in dit hoofdstuk zijn beschreven. De LVBB stelt beperkingen aan de bestandsgrootte.</w:t>
                      </w:r>
                    </w:p>
                    <w:p w14:paraId="1853F288" w14:textId="77777777" w:rsidR="003B1642" w:rsidRDefault="003B1642" w:rsidP="003B1642"/>
                    <w:p w14:paraId="176BE45F" w14:textId="47C3603D" w:rsidR="00E4589E" w:rsidRDefault="000666A4" w:rsidP="003B1642">
                      <w:r w:rsidRPr="000666A4">
                        <w:t xml:space="preserve">Op het besluit betrekking hebbende stukken zijn stukken waarmee het bestuursorgaan het besluit onderbouwt en motiveert. Wanneer het bevoegd gezag zelf de stukken op elektronische wijze ontsluit, neemt het in het onderdeel Motivering dan wel </w:t>
                      </w:r>
                      <w:r w:rsidR="0084171E" w:rsidRPr="0084171E">
                        <w:t>in het onderdeel</w:t>
                      </w:r>
                      <w:r w:rsidRPr="000666A4">
                        <w:t xml:space="preserve"> Toelichting</w:t>
                      </w:r>
                      <w:r w:rsidR="0018576A">
                        <w:t xml:space="preserve"> </w:t>
                      </w:r>
                      <w:r w:rsidRPr="000666A4">
                        <w:t>van het Besluit een link op naar de webpagina waar die stukken zijn ontsloten, en/of een link naar het betreffende stuk op die webpagina. Wanneer het bevoegd gezag de stukken opneemt als onderdeel van het Besluit, neemt het ze op als Bijlagen bij de Motivering dan wel de Toelichting.</w:t>
                      </w:r>
                    </w:p>
                    <w:p w14:paraId="4B99FAF9" w14:textId="2AA0A1DC" w:rsidR="00085810" w:rsidRPr="0022671B" w:rsidRDefault="00085810" w:rsidP="00701B57">
                      <w:r w:rsidRPr="00085810">
                        <w:t>Wanneer het bevoegd gezag zelf de stukken op elektronische wijze ontsluit, wordt aanbevolen om de terinzagelegging op elektronische wijze van de op het ontwerpbesluit betrekking hebbende stukken en de op het (definitieve) besluit betrekking hebbende stukken in ieder geval te laten voortduren totdat de volledige procedure is afgerond.</w:t>
                      </w:r>
                    </w:p>
                  </w:txbxContent>
                </v:textbox>
                <w10:anchorlock/>
              </v:shape>
            </w:pict>
          </mc:Fallback>
        </mc:AlternateConten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