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commentRangeStart w:id="1187"/>
      <w:commentRangeStart w:id="1188"/>
      <w:r>
        <w:lastRenderedPageBreak/>
        <w:t>Kennisgeving van t</w:t>
      </w:r>
      <w:r w:rsidRPr="00313E3A">
        <w:t xml:space="preserve">erinzageleggen </w:t>
      </w:r>
      <w:commentRangeEnd w:id="1187"/>
      <w:r w:rsidR="000B02E0">
        <w:rPr>
          <w:rStyle w:val="Verwijzingopmerking"/>
          <w:bCs w:val="0"/>
          <w:i w:val="0"/>
          <w:iCs w:val="0"/>
        </w:rPr>
        <w:commentReference w:id="1187"/>
      </w:r>
      <w:commentRangeEnd w:id="1188"/>
      <w:r w:rsidR="000B02E0">
        <w:rPr>
          <w:rStyle w:val="Verwijzingopmerking"/>
          <w:bCs w:val="0"/>
          <w:i w:val="0"/>
          <w:iCs w:val="0"/>
        </w:rPr>
        <w:commentReference w:id="1188"/>
      </w:r>
      <w:r w:rsidRPr="00313E3A">
        <w:t>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00FF45CE"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10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X2MAIAAFsEAAAOAAAAZHJzL2Uyb0RvYy54bWysVEtv2zAMvg/YfxB0X+w81xlxiixFhgFF&#10;WyAdelZkOTYmi4LExM5+/SglToJup2EXmRQpPr6P9Py+azQ7KOdrMDkfDlLOlJFQ1GaX8x+v6093&#10;nHkUphAajMr5UXl+v/j4Yd7aTI2gAl0oxyiI8Vlrc14h2ixJvKxUI/wArDJkLME1Akl1u6RwoqXo&#10;jU5GaTpLWnCFdSCV93T7cDLyRYxflkric1l6hUznnGrDeLp4bsOZLOYi2zlhq1qeyxD/UEUjakNJ&#10;L6EeBAq2d/UfoZpaOvBQ4kBCk0BZ1lLFHqibYfqum00lrIq9EDjeXmDy/y+sfDps7Itj2H2FjggM&#10;gLTWZ54uQz9d6ZrwpUoZ2QnC4wU21SGTdDmdpGk6IZMk22iSzsazCGxyfW6dx28KGhaEnDviJcIl&#10;Do8eKSW59i4hm4F1rXXkRhvW5nw2nqbxgQddF8EY3MKTlXbsIIjdrRbyZyifYt14kaYNXV6bChJ2&#10;247VRc7vxn3HWyiOBISD04x4K9c1xX8UHl+Eo6GgBmnQ8ZmOUgMVBWeJswrcr7/dB3/iiqyctTRk&#10;OTe0BZzp74Y4/DKcBNQwKpPp5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muZX2MAIAAFsEAAAOAAAAAAAAAAAAAAAAAC4CAABk&#10;cnMvZTJvRG9jLnhtbFBLAQItABQABgAIAAAAIQDKCzcB3AAAAAUBAAAPAAAAAAAAAAAAAAAAAIoE&#10;AABkcnMvZG93bnJldi54bWxQSwUGAAAAAAQABADzAAAAkwU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00FF45CE"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