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852C" w14:textId="4FBB99BD" w:rsidR="00EC1A29" w:rsidRDefault="00EC1A29" w:rsidP="00EC1A29">
      <w:pPr>
        <w:pStyle w:val="Kop5"/>
      </w:pPr>
      <w:bookmarkStart w:id="1205" w:name="_Ref_08f02e312da031276342cca4c7d61b19_1"/>
      <w:commentRangeStart w:id="1206"/>
      <w:r>
        <w:t xml:space="preserve">Kennis geven van voornemen </w:t>
      </w:r>
      <w:r w:rsidR="00CA5E3C">
        <w:t xml:space="preserve">een verkenning </w:t>
      </w:r>
      <w:r>
        <w:t>ui</w:t>
      </w:r>
      <w:r w:rsidR="00CA5E3C">
        <w:t xml:space="preserve">t te </w:t>
      </w:r>
      <w:r>
        <w:t xml:space="preserve">voeren </w:t>
      </w:r>
      <w:r w:rsidRPr="002B1D58">
        <w:t xml:space="preserve">en </w:t>
      </w:r>
      <w:r w:rsidR="00CA5E3C">
        <w:t xml:space="preserve">een </w:t>
      </w:r>
      <w:r w:rsidR="00CA5E3C" w:rsidRPr="00CA5E3C">
        <w:t xml:space="preserve">projectbesluit </w:t>
      </w:r>
      <w:r>
        <w:t>vast</w:t>
      </w:r>
      <w:r w:rsidR="00CA5E3C">
        <w:t xml:space="preserve"> te </w:t>
      </w:r>
      <w:r>
        <w:t>stellen</w:t>
      </w:r>
      <w:r>
        <w:t xml:space="preserve"> </w:t>
      </w:r>
      <w:bookmarkEnd w:id="1205"/>
      <w:commentRangeEnd w:id="1206"/>
      <w:r w:rsidR="00F9179D">
        <w:rPr>
          <w:rStyle w:val="Verwijzingopmerking"/>
          <w:bCs w:val="0"/>
          <w:i w:val="0"/>
          <w:iCs w:val="0"/>
        </w:rPr>
        <w:commentReference w:id="1206"/>
      </w:r>
    </w:p>
    <w:p w14:paraId="32C57166" w14:textId="5F90BA8C" w:rsidR="00D22651" w:rsidRPr="004C65DD" w:rsidRDefault="00D22651" w:rsidP="00E22362">
      <w:pPr>
        <w:pStyle w:val="Kop6"/>
      </w:pPr>
      <w:r>
        <w:t>Juridisch kader</w:t>
      </w:r>
    </w:p>
    <w:p w14:paraId="058233D7" w14:textId="77777777" w:rsidR="00EC1A29" w:rsidRDefault="00EC1A29"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195"/>
      </w:r>
      <w:r>
        <w:t xml:space="preserve">. Van </w:t>
      </w:r>
      <w:r>
        <w:lastRenderedPageBreak/>
        <w:t>het voornemen moet op de in artikel 12 Bekendmakingswet bepaalde wijze worden kennisgegeven</w:t>
      </w:r>
      <w:r>
        <w:rPr>
          <w:rStyle w:val="Voetnootmarkering"/>
        </w:rPr>
        <w:footnoteReference w:id="196"/>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197"/>
      </w:r>
      <w:r>
        <w:t xml:space="preserve">. Het voornemen </w:t>
      </w:r>
      <w:r w:rsidRPr="00A43A82">
        <w:t xml:space="preserve">vermeldt </w:t>
      </w:r>
      <w:r>
        <w:t>in ieder geval</w:t>
      </w:r>
      <w:r>
        <w:rPr>
          <w:rStyle w:val="Voetnootmarkering"/>
        </w:rPr>
        <w:footnoteReference w:id="198"/>
      </w:r>
      <w:r>
        <w:t>:</w:t>
      </w:r>
    </w:p>
    <w:p w14:paraId="6F0B84A3" w14:textId="77777777" w:rsidR="00EC1A29" w:rsidRDefault="00EC1A29"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EC1A29" w:rsidRDefault="00EC1A29" w:rsidP="00EC1A29">
      <w:pPr>
        <w:pStyle w:val="Opsommingtekens1"/>
      </w:pPr>
      <w:r w:rsidRPr="000815E6">
        <w:t>uitgangspunten voor het redelijkerwijs in beschouwing nemen van die oplossingen</w:t>
      </w:r>
      <w:r>
        <w:t>;</w:t>
      </w:r>
    </w:p>
    <w:p w14:paraId="2FDE3497" w14:textId="77777777" w:rsidR="00EC1A29" w:rsidRDefault="00EC1A29" w:rsidP="00EC1A29">
      <w:pPr>
        <w:pStyle w:val="Opsommingtekens1"/>
      </w:pPr>
      <w:r>
        <w:t>een beschrijving van de opgave;</w:t>
      </w:r>
    </w:p>
    <w:p w14:paraId="7A94413F" w14:textId="77777777" w:rsidR="00EC1A29" w:rsidRDefault="00EC1A29" w:rsidP="00EC1A29">
      <w:pPr>
        <w:pStyle w:val="Opsommingtekens1"/>
      </w:pPr>
      <w:r>
        <w:t>een beschrijving van de wijze waarop de verkenning zal worden uitgevoerd;</w:t>
      </w:r>
    </w:p>
    <w:p w14:paraId="2497F72A" w14:textId="77777777" w:rsidR="00EC1A29" w:rsidRDefault="00EC1A29" w:rsidP="00EC1A29">
      <w:pPr>
        <w:pStyle w:val="Opsommingtekens1"/>
      </w:pPr>
      <w:r>
        <w:t>de termijn waarbinnen de verkenning zal worden uitgevoerd; en</w:t>
      </w:r>
    </w:p>
    <w:p w14:paraId="74F1C1AC" w14:textId="77777777" w:rsidR="00EC1A29" w:rsidRDefault="00EC1A29" w:rsidP="00EC1A29">
      <w:pPr>
        <w:pStyle w:val="Opsommingtekens1"/>
      </w:pPr>
      <w:r>
        <w:t>een vermelding van het bevoegd gezag.</w:t>
      </w:r>
    </w:p>
    <w:p w14:paraId="799FE542" w14:textId="77777777" w:rsidR="00EC1A29" w:rsidRDefault="00EC1A29" w:rsidP="00EC1A29">
      <w:r>
        <w:t xml:space="preserve">Blijkens de bewoording lijkt de wetgever er van uit te gaan dat het voornemen een afzonderlijk document is. Dat document zal dan </w:t>
      </w:r>
      <w:r w:rsidRPr="006F3AD8">
        <w:t>zowel op elektronische wijze als op een door het bestuursorgaan aan te wijzen locatie</w:t>
      </w:r>
      <w:r>
        <w:t xml:space="preserve"> ter inzage gelegd moeten worden</w:t>
      </w:r>
      <w:r>
        <w:rPr>
          <w:rStyle w:val="Voetnootmarkering"/>
        </w:rPr>
        <w:footnoteReference w:id="199"/>
      </w:r>
      <w:r w:rsidRPr="006F3AD8">
        <w:t>.</w:t>
      </w:r>
      <w:r>
        <w:t xml:space="preserve"> In het geval van terinzagelegging van het voornemen-document moet de kennisgeving in ieder geval vermelden</w:t>
      </w:r>
      <w:r>
        <w:rPr>
          <w:rStyle w:val="Voetnootmarkering"/>
        </w:rPr>
        <w:footnoteReference w:id="200"/>
      </w:r>
      <w:r>
        <w:t>:</w:t>
      </w:r>
    </w:p>
    <w:p w14:paraId="062B05E6" w14:textId="77777777" w:rsidR="00EC1A29" w:rsidRDefault="00EC1A29" w:rsidP="00EC1A29">
      <w:pPr>
        <w:pStyle w:val="Opsommingtekens1"/>
      </w:pPr>
      <w:r w:rsidRPr="007B772F">
        <w:t>een zakelijke weergave van de inhoud</w:t>
      </w:r>
      <w:r>
        <w:t xml:space="preserve"> van het voornemen;</w:t>
      </w:r>
    </w:p>
    <w:p w14:paraId="3B8DF1D7" w14:textId="77777777" w:rsidR="00EC1A29" w:rsidRDefault="00EC1A29" w:rsidP="00EC1A29">
      <w:pPr>
        <w:pStyle w:val="Opsommingtekens1"/>
      </w:pPr>
      <w:r w:rsidRPr="007B772F">
        <w:t>de wijze waarop en de periode waarin de stukken waar de kennisgeving betrekking op heeft voor eenieder ter inzage liggen.</w:t>
      </w:r>
    </w:p>
    <w:p w14:paraId="4F83A22A" w14:textId="77777777" w:rsidR="00EC1A29" w:rsidRDefault="00EC1A29"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320417" w:rsidRPr="00320417" w:rsidRDefault="002A2F0D" w:rsidP="00320417">
      <w:pPr>
        <w:pStyle w:val="Kop6"/>
      </w:pPr>
      <w:bookmarkStart w:id="1207" w:name="_Ref_08f02e312da031276342cca4c7d61b19_2"/>
      <w:r>
        <w:t>A</w:t>
      </w:r>
      <w:r w:rsidR="00320417" w:rsidRPr="00320417">
        <w:t>anlever</w:t>
      </w:r>
      <w:r>
        <w:t>e</w:t>
      </w:r>
      <w:r w:rsidR="00320417" w:rsidRPr="00320417">
        <w:t>n kennisgeving</w:t>
      </w:r>
      <w:bookmarkEnd w:id="1207"/>
    </w:p>
    <w:p w14:paraId="5C543756" w14:textId="7128B461" w:rsidR="00C235A5" w:rsidRDefault="00531AE9" w:rsidP="00EC1A29">
      <w:r>
        <w:t xml:space="preserve">Waterschap, provincie of Rijk </w:t>
      </w:r>
      <w:r w:rsidR="00EC1A29" w:rsidRPr="00862133">
        <w:t xml:space="preserve">moet </w:t>
      </w:r>
      <w:r w:rsidR="001C5841">
        <w:t xml:space="preserve">de kennisgeving conform </w:t>
      </w:r>
      <w:r w:rsidR="00EC1A29" w:rsidRPr="00862133">
        <w:t xml:space="preserve">STOP </w:t>
      </w:r>
      <w:r w:rsidR="001C5841">
        <w:t xml:space="preserve">opstellen </w:t>
      </w:r>
      <w:r w:rsidR="00EC1A29" w:rsidRPr="00862133">
        <w:t xml:space="preserve">en aan de LVBB </w:t>
      </w:r>
      <w:r w:rsidR="001C5841">
        <w:t>aanleveren</w:t>
      </w:r>
      <w:r w:rsidR="00EC1A29" w:rsidRPr="00862133">
        <w:t>.</w:t>
      </w:r>
      <w:r w:rsidR="00EC1A29">
        <w:t xml:space="preserve"> De specificaties voor de vormgeving van de kennisgeving conform STOP staan in paragraaf </w:t>
      </w:r>
      <w:r w:rsidR="001C5841">
        <w:rPr>
          <w:rStyle w:val="Verwijzing"/>
        </w:rPr>
        <w:fldChar w:fldCharType="begin"/>
      </w:r>
      <w:r w:rsidR="001C5841">
        <w:instrText xml:space="preserve"> REF _Ref_ec051a0803149cc62fc2e6db9a6f547d_6 \n \h </w:instrText>
      </w:r>
      <w:r w:rsidR="001C5841">
        <w:rPr>
          <w:rStyle w:val="Verwijzing"/>
        </w:rPr>
      </w:r>
      <w:r w:rsidR="001C5841">
        <w:rPr>
          <w:rStyle w:val="Verwijzing"/>
        </w:rPr>
        <w:fldChar w:fldCharType="separate"/>
      </w:r>
      <w:r w:rsidR="00C235A5">
        <w:t>10.2.2</w:t>
      </w:r>
      <w:r w:rsidR="001C5841">
        <w:rPr>
          <w:rStyle w:val="Verwijzing"/>
        </w:rPr>
        <w:fldChar w:fldCharType="end"/>
      </w:r>
      <w:r w:rsidR="00EC1A29">
        <w:t xml:space="preserve">. Bij de kennisgeving moeten Kennisgevingmetadata worden aangeleverd. </w:t>
      </w:r>
      <w:r w:rsidR="00E62876" w:rsidRPr="00E62876">
        <w:t xml:space="preserve">Waterschap, provincie of Rijk </w:t>
      </w:r>
      <w:r w:rsidR="00EC1A29" w:rsidRPr="00B97463">
        <w:t xml:space="preserve">moet ook een publicatieopdracht aan de LVBB </w:t>
      </w:r>
      <w:r w:rsidR="00E62876">
        <w:t>aanleveren</w:t>
      </w:r>
      <w:r w:rsidR="00EC1A29" w:rsidRPr="00B97463">
        <w:t>, waarin wordt aangegeven welk soort publicatie wordt aangeleverd en op welke datum die publicatie gepubliceerd moet worden.</w:t>
      </w:r>
      <w:r w:rsidR="00EC1A29">
        <w:t xml:space="preserve"> Dit is achtereenvolgens in de volgende paragrafen beschreven.</w:t>
      </w:r>
    </w:p>
    <w:p w14:paraId="2D1E96F7" w14:textId="25DBD4C8" w:rsidR="000B63E8" w:rsidRDefault="00EC1A29" w:rsidP="00EC1A29">
      <w:r>
        <w:t>NB: bij dit type kennisgeving wordt geen module Procedureverloop aangeleverd.</w:t>
      </w:r>
    </w:p>
    <w:p w14:paraId="46E6CC2E" w14:textId="5B47A1F6" w:rsidR="00EC1A29" w:rsidRDefault="005F6B2F" w:rsidP="00EC1A29">
      <w:r>
        <w:t xml:space="preserve">NB2: </w:t>
      </w:r>
      <w:r w:rsidRPr="005F6B2F">
        <w:t>de kennisgeving komt wel in waterschapsblad, provinciaal blad of Staatscourant, maar wordt niet in DSO-LV getoond.</w:t>
      </w:r>
    </w:p>
    <w:p w14:paraId="5C25DF38" w14:textId="77777777" w:rsidR="005F6B2F" w:rsidRDefault="005F6B2F" w:rsidP="00EC1A29"/>
    <w:p w14:paraId="46DEB794" w14:textId="6B8B83DB" w:rsidR="005B5EAC" w:rsidRDefault="00EC1A29" w:rsidP="001735B6">
      <w:r>
        <w:t xml:space="preserve">Indien gewenst kan deze kennisgeving worden gecombineerd met de kennisgeving participatie die in paragraaf </w:t>
      </w:r>
      <w:r>
        <w:fldChar w:fldCharType="begin" w:fldLock="1"/>
      </w:r>
      <w:r>
        <w:instrText xml:space="preserve"> REF _Ref_edcfdb938ccad097cf07e17f0afdaa8e_1 \n \h </w:instrText>
      </w:r>
      <w:r>
        <w:fldChar w:fldCharType="separate"/>
      </w:r>
      <w:r w:rsidRPr="00DF3BF8">
        <w:rPr>
          <w:rStyle w:val="Verwijzing"/>
        </w:rPr>
        <w:t>10.6.1.2</w:t>
      </w:r>
      <w:r>
        <w:fldChar w:fldCharType="end"/>
      </w:r>
      <w:r>
        <w:t xml:space="preserve"> is beschreven.</w:t>
      </w:r>
    </w:p>
    <w:p w14:paraId="46991005" w14:textId="77777777" w:rsidR="00EC1A29" w:rsidRDefault="00EC1A29" w:rsidP="00EC1A29">
      <w:pPr>
        <w:pStyle w:val="Kop6"/>
      </w:pPr>
      <w:commentRangeStart w:id="1210"/>
      <w:r>
        <w:t>Kennisgevingmetadata</w:t>
      </w:r>
      <w:commentRangeEnd w:id="1210"/>
      <w:r w:rsidR="00F9179D">
        <w:rPr>
          <w:rStyle w:val="Verwijzingopmerking"/>
          <w:bCs w:val="0"/>
          <w:i w:val="0"/>
        </w:rPr>
        <w:commentReference w:id="1210"/>
      </w:r>
    </w:p>
    <w:p w14:paraId="540F4F49" w14:textId="419CE473" w:rsidR="00C235A5" w:rsidRDefault="00C174C0"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00944891" w:rsidRPr="00944891">
        <w:t xml:space="preserve">voornemen </w:t>
      </w:r>
      <w:r w:rsidR="00944891">
        <w:t xml:space="preserve">om een </w:t>
      </w:r>
      <w:r w:rsidR="00944891" w:rsidRPr="00944891">
        <w:t xml:space="preserve">verkenning </w:t>
      </w:r>
      <w:r w:rsidR="00944891">
        <w:t xml:space="preserve">uit te voeren en een </w:t>
      </w:r>
      <w:r w:rsidR="00944891" w:rsidRPr="00944891">
        <w:t xml:space="preserve">projectbesluit </w:t>
      </w:r>
      <w:r w:rsidR="00E3058F">
        <w:t xml:space="preserve">vast te stellen </w:t>
      </w:r>
      <w:r>
        <w:t>aangegeven hoe ze moeten worden toegepast</w:t>
      </w:r>
      <w:r w:rsidRPr="00103E4B">
        <w:t>.</w:t>
      </w:r>
    </w:p>
    <w:p w14:paraId="10E0C63D" w14:textId="6A6195C8" w:rsidR="00C174C0" w:rsidRDefault="00C174C0" w:rsidP="00C174C0"/>
    <w:p w14:paraId="1DADED1A" w14:textId="3AF4E951" w:rsidR="00C235A5" w:rsidRDefault="00C174C0" w:rsidP="00C174C0">
      <w:pPr>
        <w:pStyle w:val="Opsommingtekens1"/>
      </w:pPr>
      <w:r w:rsidRPr="00073B3E">
        <w:rPr>
          <w:i/>
          <w:iCs/>
        </w:rPr>
        <w:t>eindverantwoordelijke</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1CA4F005" w14:textId="346DC6AD" w:rsidR="00C174C0" w:rsidRDefault="00C174C0" w:rsidP="00C174C0">
      <w:pPr>
        <w:pStyle w:val="Opsommingtekens1"/>
      </w:pPr>
      <w:r w:rsidRPr="00073B3E">
        <w:rPr>
          <w:i/>
          <w:iCs/>
        </w:rPr>
        <w:t>maker</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7E98A6F6" w14:textId="333AC1DF" w:rsidR="00C174C0" w:rsidRDefault="00C174C0" w:rsidP="00C174C0">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CA08F2" w:rsidRPr="00CA08F2">
        <w:t xml:space="preserve">voornemen om een verkenning uit te voeren </w:t>
      </w:r>
      <w:r w:rsidR="00E04593">
        <w:t>en een projectbesluit vast te stellen i.v.m.</w:t>
      </w:r>
      <w:r w:rsidR="00CA08F2" w:rsidRPr="00CA08F2">
        <w:t xml:space="preserve"> doorgaand verkeer rondom Gemeentestad</w:t>
      </w:r>
      <w:r>
        <w:t>’.</w:t>
      </w:r>
    </w:p>
    <w:p w14:paraId="414A1F95" w14:textId="77777777" w:rsidR="00C174C0" w:rsidRDefault="00C174C0" w:rsidP="00C174C0">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C174C0" w:rsidRDefault="00C174C0"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C174C0" w:rsidRDefault="00C174C0" w:rsidP="00C174C0">
      <w:pPr>
        <w:pStyle w:val="Opsommingnummers1"/>
        <w:numPr>
          <w:ilvl w:val="0"/>
          <w:numId w:val="0"/>
        </w:numPr>
        <w:ind w:left="284" w:hanging="284"/>
      </w:pPr>
    </w:p>
    <w:p w14:paraId="10074D53" w14:textId="60A7A496" w:rsidR="00C235A5" w:rsidRDefault="00C174C0"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10BC2991" w14:textId="032E355C" w:rsidR="00EC1A29" w:rsidRDefault="00EC1A29" w:rsidP="00EC1A29">
      <w:pPr>
        <w:pStyle w:val="Kop6"/>
      </w:pPr>
      <w:r>
        <w:t>Datum publicatie kennisgeving</w:t>
      </w:r>
    </w:p>
    <w:p w14:paraId="1D93686F" w14:textId="79258FFC" w:rsidR="00EC1A29" w:rsidRPr="00BB412D" w:rsidRDefault="001D7C07" w:rsidP="00EC1A29">
      <w:r>
        <w:t>W</w:t>
      </w:r>
      <w:r w:rsidR="00EC1A29" w:rsidRPr="002D4FE6">
        <w:t xml:space="preserve">aterschap, provincie of Rijk </w:t>
      </w:r>
      <w:r w:rsidR="007E7408">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9C05A1">
        <w:t>,</w:t>
      </w:r>
      <w:r w:rsidR="00EC1A29">
        <w:t xml:space="preserve">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