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379D" w14:textId="77777777" w:rsidR="00EC1A29" w:rsidRDefault="00EC1A29" w:rsidP="00EC1A29">
      <w:pPr>
        <w:pStyle w:val="Kop5"/>
      </w:pPr>
      <w:bookmarkStart w:id="1010" w:name="_Ref_5f9606863d6cbf5422c29c787682471d_1"/>
      <w:r>
        <w:t>Kennisgeving participatie</w:t>
      </w:r>
      <w:bookmarkEnd w:id="1010"/>
    </w:p>
    <w:p w14:paraId="77D45697" w14:textId="46374116" w:rsidR="00EC1A29" w:rsidRDefault="00321137" w:rsidP="00EC1A29">
      <w:pPr>
        <w:pStyle w:val="Kop6"/>
      </w:pPr>
      <w:r>
        <w:t xml:space="preserve"> Juridisch kader</w:t>
      </w:r>
    </w:p>
    <w:p w14:paraId="280ACB34" w14:textId="77777777" w:rsidR="00EC1A29" w:rsidRDefault="00EC1A29" w:rsidP="00EC1A29">
      <w:r>
        <w:t>Waterschap, provincie of Rijk</w:t>
      </w:r>
      <w:r w:rsidRPr="00444CAD">
        <w:t xml:space="preserve"> moet kennis geven van </w:t>
      </w:r>
      <w:r>
        <w:t xml:space="preserve">de wijze waarop </w:t>
      </w:r>
      <w:r w:rsidRPr="00276B13">
        <w:t xml:space="preserve">burgers, bedrijven, maatschappelijke organisaties en bestuursorganen </w:t>
      </w:r>
      <w:r>
        <w:t xml:space="preserve">zullen </w:t>
      </w:r>
      <w:r w:rsidRPr="00276B13">
        <w:t>worden betrokken</w:t>
      </w:r>
      <w:r>
        <w:t xml:space="preserve">. Deze </w:t>
      </w:r>
      <w:r w:rsidRPr="007958C5">
        <w:t xml:space="preserve">kennisgeving </w:t>
      </w:r>
      <w:r>
        <w:t xml:space="preserve">moet </w:t>
      </w:r>
      <w:r w:rsidRPr="007958C5">
        <w:t>uiterlijk bij de aanvang van de verkenning gedaan</w:t>
      </w:r>
      <w:r w:rsidRPr="007958C5">
        <w:rPr>
          <w:rStyle w:val="Voetnootmarkering"/>
          <w:vertAlign w:val="baseline"/>
        </w:rPr>
        <w:t xml:space="preserve"> </w:t>
      </w:r>
      <w:r w:rsidRPr="00163D64">
        <w:rPr>
          <w:rStyle w:val="Voetnootmarkering"/>
          <w:vertAlign w:val="baseline"/>
        </w:rPr>
        <w:t>worden</w:t>
      </w:r>
      <w:r>
        <w:rPr>
          <w:rStyle w:val="Voetnootmarkering"/>
        </w:rPr>
        <w:footnoteReference w:id="204"/>
      </w:r>
      <w:r>
        <w:t>. In deze kennisgeving moet in ieder geval worden aangegeven</w:t>
      </w:r>
      <w:r>
        <w:rPr>
          <w:rStyle w:val="Voetnootmarkering"/>
        </w:rPr>
        <w:footnoteReference w:id="205"/>
      </w:r>
      <w:r>
        <w:t>:</w:t>
      </w:r>
    </w:p>
    <w:p w14:paraId="4122568B" w14:textId="77777777" w:rsidR="00EC1A29" w:rsidRDefault="00EC1A29" w:rsidP="00EC1A29">
      <w:pPr>
        <w:pStyle w:val="Opsommingtekens1"/>
      </w:pPr>
      <w:r>
        <w:t>wie worden betrokken;</w:t>
      </w:r>
    </w:p>
    <w:p w14:paraId="5D5EE55E" w14:textId="77777777" w:rsidR="00EC1A29" w:rsidRDefault="00EC1A29" w:rsidP="00EC1A29">
      <w:pPr>
        <w:pStyle w:val="Opsommingtekens1"/>
      </w:pPr>
      <w:r>
        <w:t>waarover zij worden betrokken;</w:t>
      </w:r>
    </w:p>
    <w:p w14:paraId="1C921CF2" w14:textId="77777777" w:rsidR="00EC1A29" w:rsidRDefault="00EC1A29" w:rsidP="00EC1A29">
      <w:pPr>
        <w:pStyle w:val="Opsommingtekens1"/>
      </w:pPr>
      <w:r>
        <w:t>wanneer zij worden betrokken;</w:t>
      </w:r>
    </w:p>
    <w:p w14:paraId="2C6D2291" w14:textId="77777777" w:rsidR="00EC1A29" w:rsidRDefault="00EC1A29" w:rsidP="00EC1A29">
      <w:pPr>
        <w:pStyle w:val="Opsommingtekens1"/>
      </w:pPr>
      <w:r>
        <w:t>wat de rol is van het bevoegd gezag en de initiatiefnemer bij het betrekken van deze partijen; en</w:t>
      </w:r>
    </w:p>
    <w:p w14:paraId="71D3E66B" w14:textId="77777777" w:rsidR="00EC1A29" w:rsidRDefault="00EC1A29" w:rsidP="00EC1A29">
      <w:pPr>
        <w:pStyle w:val="Opsommingtekens1"/>
      </w:pPr>
      <w:r>
        <w:t>waar aanvullende informatie beschikbaar is.</w:t>
      </w:r>
    </w:p>
    <w:p w14:paraId="26439795" w14:textId="6E6B7DD0" w:rsidR="006E68A7" w:rsidRDefault="006E68A7" w:rsidP="00E22362">
      <w:r>
        <w:t xml:space="preserve">Het bevoegd gezag kan zelf bepalen op welke wijze deze kennisgeving gedaan wordt; die wijze moet geschikt zijn om </w:t>
      </w:r>
      <w:r w:rsidRPr="00B03B3E">
        <w:t xml:space="preserve">het </w:t>
      </w:r>
      <w:r>
        <w:t xml:space="preserve">publiek dat </w:t>
      </w:r>
      <w:r w:rsidRPr="00B03B3E">
        <w:t xml:space="preserve">voor de te verkennen opgave in de fysieke leefomgeving relevant </w:t>
      </w:r>
      <w:r>
        <w:t xml:space="preserve">is </w:t>
      </w:r>
      <w:r w:rsidRPr="00B03B3E">
        <w:t xml:space="preserve">zo goed mogelijk </w:t>
      </w:r>
      <w:r>
        <w:t>te</w:t>
      </w:r>
      <w:r w:rsidRPr="00B03B3E">
        <w:t xml:space="preserve"> bereik</w:t>
      </w:r>
      <w:r>
        <w:t>en</w:t>
      </w:r>
      <w:r>
        <w:rPr>
          <w:rStyle w:val="Voetnootmarkering"/>
        </w:rPr>
        <w:footnoteReference w:id="206"/>
      </w:r>
      <w:r w:rsidRPr="00B03B3E">
        <w:t>.</w:t>
      </w:r>
    </w:p>
    <w:p w14:paraId="693B9D97" w14:textId="66569E7A" w:rsidR="00EC1A29" w:rsidRDefault="00F805E1" w:rsidP="00E22362">
      <w:pPr>
        <w:pStyle w:val="Kop6"/>
      </w:pPr>
      <w:r>
        <w:t>A</w:t>
      </w:r>
      <w:r w:rsidR="00114539" w:rsidRPr="00114539">
        <w:t>anlever</w:t>
      </w:r>
      <w:r>
        <w:t>e</w:t>
      </w:r>
      <w:r w:rsidR="00114539" w:rsidRPr="00114539">
        <w:t>n kennisgeving</w:t>
      </w:r>
    </w:p>
    <w:p w14:paraId="1FD0724C" w14:textId="72612476" w:rsidR="00114539" w:rsidRDefault="00CD7369" w:rsidP="00EC1A29">
      <w:r>
        <w:t>H</w:t>
      </w:r>
      <w:r w:rsidR="00EC1A29">
        <w:t xml:space="preserve">et Omgevingsbesluit </w:t>
      </w:r>
      <w:r>
        <w:t xml:space="preserve">laat waterschap, provincie en Rijk de keuze voor de </w:t>
      </w:r>
      <w:r w:rsidR="00EC1A29">
        <w:t xml:space="preserve">wijze </w:t>
      </w:r>
      <w:r>
        <w:t xml:space="preserve">waarop </w:t>
      </w:r>
      <w:r w:rsidR="00EC1A29">
        <w:t>deze kennisgeving gedaan wordt</w:t>
      </w:r>
      <w:r w:rsidR="00EC1A29" w:rsidRPr="00B03B3E">
        <w:t>.</w:t>
      </w:r>
      <w:r w:rsidR="00EC1A29">
        <w:t xml:space="preserve"> Gezien de recente wijziging van de Bekendmakingswet, waarvan het uitgangspunt is dat alle kennisgevingen en mededelingen in de officiële elektronische publicatiebladen worden gedaan, wordt aanbevolen om deze kennisgeving in ieder geval </w:t>
      </w:r>
      <w:r w:rsidR="00EC1A29" w:rsidRPr="0066066F">
        <w:t>in het publicatieblad van waterschap, provincie of Rijk</w:t>
      </w:r>
      <w:r w:rsidR="00EC1A29">
        <w:t xml:space="preserve"> te plaatsen. Daarnaast kunnen uiteraard andere geschikte kanalen worden gebruikt, zoals de landelijke dagbladen.</w:t>
      </w:r>
    </w:p>
    <w:p w14:paraId="0447EE06" w14:textId="748A4437" w:rsidR="00EC1A29" w:rsidRDefault="00EC1A29" w:rsidP="00EC1A29">
      <w:r>
        <w:t xml:space="preserve">Wanneer deze kennisgeving wordt gecombineerd met de kennisgeving van het voornemen (zie paragraaf </w:t>
      </w:r>
      <w:r w:rsidR="006363CA">
        <w:fldChar w:fldCharType="begin"/>
      </w:r>
      <w:r w:rsidR="006363CA">
        <w:instrText xml:space="preserve"> REF _Ref_265d56e1040d2bc38055e6fd8fda12fe_1 \n \h </w:instrText>
      </w:r>
      <w:r w:rsidR="006363CA">
        <w:fldChar w:fldCharType="separate"/>
      </w:r>
      <w:r w:rsidR="00D33EA9">
        <w:t>10.8.2.1</w:t>
      </w:r>
      <w:r w:rsidR="006363CA">
        <w:fldChar w:fldCharType="end"/>
      </w:r>
      <w:r>
        <w:t xml:space="preserve">), is het verplicht om deze in het </w:t>
      </w:r>
      <w:r w:rsidRPr="00DC7F3D">
        <w:t xml:space="preserve">publicatieblad van </w:t>
      </w:r>
      <w:r>
        <w:t>waterschap, provincie of Rijk</w:t>
      </w:r>
      <w:r w:rsidRPr="00DC7F3D">
        <w:t xml:space="preserve"> </w:t>
      </w:r>
      <w:r>
        <w:t xml:space="preserve">te </w:t>
      </w:r>
      <w:r w:rsidRPr="00DC7F3D">
        <w:t>plaats</w:t>
      </w:r>
      <w:r>
        <w:t>en.</w:t>
      </w:r>
    </w:p>
    <w:p w14:paraId="56831C64" w14:textId="46C25898" w:rsidR="00EC1A29" w:rsidRDefault="00AB7226" w:rsidP="00B9795C">
      <w:pPr>
        <w:pStyle w:val="Kader"/>
      </w:pPr>
      <w:r w:rsidRPr="00B26823">
        <w:rPr>
          <w:noProof/>
        </w:rPr>
        <w:lastRenderedPageBreak/>
        <mc:AlternateContent>
          <mc:Choice Requires="wps">
            <w:drawing>
              <wp:inline distT="0" distB="0" distL="0" distR="0" wp14:anchorId="28CD97F0" wp14:editId="1E5DF6BC">
                <wp:extent cx="5400040" cy="1873587"/>
                <wp:effectExtent l="0" t="0" r="22860" b="10160"/>
                <wp:docPr id="531857358" name="Tekstvak 5318573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06778996" w14:textId="77777777" w:rsidR="00AB7226" w:rsidRPr="009A08A2" w:rsidRDefault="00AB7226" w:rsidP="00AB7226">
                            <w:pPr>
                              <w:rPr>
                                <w:b/>
                                <w:bCs/>
                              </w:rPr>
                            </w:pPr>
                            <w:r w:rsidRPr="009A08A2">
                              <w:rPr>
                                <w:b/>
                                <w:bCs/>
                              </w:rPr>
                              <w:t>Toekomstige functionaliteit</w:t>
                            </w:r>
                          </w:p>
                          <w:p w14:paraId="32E5FD62" w14:textId="7474109B" w:rsidR="00AB7226" w:rsidRDefault="00552806" w:rsidP="00AB7226">
                            <w:r>
                              <w:t xml:space="preserve">STOP versie 2.0 zal het mogelijk maken </w:t>
                            </w:r>
                            <w:r w:rsidR="00E8331A">
                              <w:t xml:space="preserve">om </w:t>
                            </w:r>
                            <w:r w:rsidR="00AB7226">
                              <w:t xml:space="preserve">de </w:t>
                            </w:r>
                            <w:r w:rsidR="00AB7226" w:rsidRPr="00471692">
                              <w:t>kennisgev</w:t>
                            </w:r>
                            <w:r w:rsidR="00AB7226">
                              <w:t>i</w:t>
                            </w:r>
                            <w:r w:rsidR="00AB7226" w:rsidRPr="00471692">
                              <w:t>n</w:t>
                            </w:r>
                            <w:r w:rsidR="00AB7226">
                              <w:t>g</w:t>
                            </w:r>
                            <w:r w:rsidR="00AB7226" w:rsidRPr="00471692">
                              <w:t xml:space="preserve"> van </w:t>
                            </w:r>
                            <w:r w:rsidR="00AB7226">
                              <w:t xml:space="preserve">het participatietraject </w:t>
                            </w:r>
                            <w:r w:rsidR="0024559B">
                              <w:t>met STOP op te stellen en aan de LVBB aan te leveren</w:t>
                            </w:r>
                            <w:r w:rsidR="00AB7226">
                              <w:t xml:space="preserve">. </w:t>
                            </w:r>
                            <w:r w:rsidR="005847D0" w:rsidRPr="005847D0">
                              <w:t>Een volgende versie van d</w:t>
                            </w:r>
                            <w:r w:rsidR="00B92A7C">
                              <w:t>it TPOD zal dan beschrijven hoe dat moet worden toegepast.</w:t>
                            </w:r>
                          </w:p>
                          <w:p w14:paraId="3C3673CA" w14:textId="77777777" w:rsidR="00AB7226" w:rsidRDefault="00AB7226" w:rsidP="00AB7226"/>
                          <w:p w14:paraId="1004E866" w14:textId="77777777" w:rsidR="00AB7226" w:rsidRPr="00B92A7C" w:rsidRDefault="00AB7226" w:rsidP="00AB7226">
                            <w:pPr>
                              <w:rPr>
                                <w:b/>
                                <w:bCs/>
                              </w:rPr>
                            </w:pPr>
                            <w:r w:rsidRPr="00B92A7C">
                              <w:rPr>
                                <w:b/>
                                <w:bCs/>
                              </w:rPr>
                              <w:t>Workaround</w:t>
                            </w:r>
                          </w:p>
                          <w:p w14:paraId="275446A1" w14:textId="2A78636A" w:rsidR="00AB7226" w:rsidRPr="00C352EA" w:rsidRDefault="00AB7226" w:rsidP="00AB7226">
                            <w:r>
                              <w:t xml:space="preserve">Zolang deze kennisgeving niet </w:t>
                            </w:r>
                            <w:r w:rsidR="00CB1DA1">
                              <w:t>in de geldende STOP/TPOD-standaard is beschreven en</w:t>
                            </w:r>
                            <w:r w:rsidR="000B25EB">
                              <w:t xml:space="preserve"> niet </w:t>
                            </w:r>
                            <w:r>
                              <w:t xml:space="preserve">in de DSO-keten </w:t>
                            </w:r>
                            <w:r w:rsidRPr="00822F07">
                              <w:t>is geïmplementeerd</w:t>
                            </w:r>
                            <w:r>
                              <w:t xml:space="preserve">, </w:t>
                            </w:r>
                            <w:r w:rsidR="006E18BD"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8CD97F0" id="Tekstvak 531857358" o:spid="_x0000_s1110"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" filled="f" strokeweight=".5pt">
                <v:textbox style="mso-fit-shape-to-text:t">
                  <w:txbxContent>
                    <w:p w14:paraId="06778996" w14:textId="77777777" w:rsidR="00AB7226" w:rsidRPr="009A08A2" w:rsidRDefault="00AB7226" w:rsidP="00AB7226">
                      <w:pPr>
                        <w:rPr>
                          <w:b/>
                          <w:bCs/>
                        </w:rPr>
                      </w:pPr>
                      <w:r w:rsidRPr="009A08A2">
                        <w:rPr>
                          <w:b/>
                          <w:bCs/>
                        </w:rPr>
                        <w:t>Toekomstige functionaliteit</w:t>
                      </w:r>
                    </w:p>
                    <w:p w14:paraId="32E5FD62" w14:textId="7474109B" w:rsidR="00AB7226" w:rsidRDefault="00552806" w:rsidP="00AB7226">
                      <w:r>
                        <w:t xml:space="preserve">STOP versie 2.0 zal het mogelijk maken </w:t>
                      </w:r>
                      <w:r w:rsidR="00E8331A">
                        <w:t xml:space="preserve">om </w:t>
                      </w:r>
                      <w:r w:rsidR="00AB7226">
                        <w:t xml:space="preserve">de </w:t>
                      </w:r>
                      <w:r w:rsidR="00AB7226" w:rsidRPr="00471692">
                        <w:t>kennisgev</w:t>
                      </w:r>
                      <w:r w:rsidR="00AB7226">
                        <w:t>i</w:t>
                      </w:r>
                      <w:r w:rsidR="00AB7226" w:rsidRPr="00471692">
                        <w:t>n</w:t>
                      </w:r>
                      <w:r w:rsidR="00AB7226">
                        <w:t>g</w:t>
                      </w:r>
                      <w:r w:rsidR="00AB7226" w:rsidRPr="00471692">
                        <w:t xml:space="preserve"> van </w:t>
                      </w:r>
                      <w:r w:rsidR="00AB7226">
                        <w:t xml:space="preserve">het participatietraject </w:t>
                      </w:r>
                      <w:r w:rsidR="0024559B">
                        <w:t>met STOP op te stellen en aan de LVBB aan te leveren</w:t>
                      </w:r>
                      <w:r w:rsidR="00AB7226">
                        <w:t xml:space="preserve">. </w:t>
                      </w:r>
                      <w:r w:rsidR="005847D0" w:rsidRPr="005847D0">
                        <w:t>Een volgende versie van d</w:t>
                      </w:r>
                      <w:r w:rsidR="00B92A7C">
                        <w:t>it TPOD zal dan beschrijven hoe dat moet worden toegepast.</w:t>
                      </w:r>
                    </w:p>
                    <w:p w14:paraId="3C3673CA" w14:textId="77777777" w:rsidR="00AB7226" w:rsidRDefault="00AB7226" w:rsidP="00AB7226"/>
                    <w:p w14:paraId="1004E866" w14:textId="77777777" w:rsidR="00AB7226" w:rsidRPr="00B92A7C" w:rsidRDefault="00AB7226" w:rsidP="00AB7226">
                      <w:pPr>
                        <w:rPr>
                          <w:b/>
                          <w:bCs/>
                        </w:rPr>
                      </w:pPr>
                      <w:r w:rsidRPr="00B92A7C">
                        <w:rPr>
                          <w:b/>
                          <w:bCs/>
                        </w:rPr>
                        <w:t>Workaround</w:t>
                      </w:r>
                    </w:p>
                    <w:p w14:paraId="275446A1" w14:textId="2A78636A" w:rsidR="00AB7226" w:rsidRPr="00C352EA" w:rsidRDefault="00AB7226" w:rsidP="00AB7226">
                      <w:r>
                        <w:t xml:space="preserve">Zolang deze kennisgeving niet </w:t>
                      </w:r>
                      <w:r w:rsidR="00CB1DA1">
                        <w:t>in de geldende STOP/TPOD-standaard is beschreven en</w:t>
                      </w:r>
                      <w:r w:rsidR="000B25EB">
                        <w:t xml:space="preserve"> niet </w:t>
                      </w:r>
                      <w:r>
                        <w:t xml:space="preserve">in de DSO-keten </w:t>
                      </w:r>
                      <w:r w:rsidRPr="00822F07">
                        <w:t>is geïmplementeerd</w:t>
                      </w:r>
                      <w:r>
                        <w:t xml:space="preserve">, </w:t>
                      </w:r>
                      <w:r w:rsidR="006E18BD" w:rsidRPr="006E18BD">
                        <w:t>levert het bevoegd gezag deze kennisgeving met de applicatie DROP dan wel via SDU aan</w:t>
                      </w:r>
                      <w:r>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