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r>
        <w:t>Juridisch kader</w:t>
      </w:r>
    </w:p>
    <w:p w14:paraId="0BC06475" w14:textId="77777777" w:rsidR="00EC1A29" w:rsidRDefault="00EC1A29" w:rsidP="00EC1A29">
      <w:pPr>
        <w:pStyle w:val="Kop6"/>
      </w:pPr>
      <w:r>
        <w:t>Vaststelling</w:t>
      </w:r>
    </w:p>
    <w:p w14:paraId="0BEEE0AD" w14:textId="5C93E3FB" w:rsidR="00ED0A54"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38"/>
      </w:r>
      <w:r>
        <w:t xml:space="preserve">. </w:t>
      </w:r>
      <w:r w:rsidRPr="00657130">
        <w:t>Deze bevoegdheid kan niet gedelegeerd worden</w:t>
      </w:r>
      <w:r>
        <w:t>.</w:t>
      </w:r>
      <w:bookmarkStart w:id="1045" w:name="_Ref_235de80b63f402fa5c1b8456b222e5cb_1"/>
      <w:bookmarkStart w:id="1046" w:name="_Ref_235de80b63f402fa5c1b8456b222e5cb_2"/>
    </w:p>
    <w:p w14:paraId="552DDB30" w14:textId="662E1740" w:rsidR="00EC1A29" w:rsidRDefault="00EC1A29" w:rsidP="00EC1A29">
      <w:pPr>
        <w:pStyle w:val="Kop6"/>
      </w:pPr>
      <w:r>
        <w:lastRenderedPageBreak/>
        <w:t>Bekendmaking</w:t>
      </w:r>
      <w:bookmarkEnd w:id="1045"/>
      <w:r>
        <w:t xml:space="preserve"> en terinzagelegging bij projectbesluit provincie en Rijk</w:t>
      </w:r>
      <w:bookmarkEnd w:id="1046"/>
    </w:p>
    <w:p w14:paraId="5031F1D0" w14:textId="59E7CC06" w:rsidR="00ED0A54"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39"/>
      </w:r>
      <w:r>
        <w:t>. D</w:t>
      </w:r>
      <w:r w:rsidRPr="007A3CB8">
        <w:t>e provincie respectievelijk de minister kan zelf de datum van bekendmaking bepalen</w:t>
      </w:r>
      <w:r>
        <w:t>.</w:t>
      </w:r>
    </w:p>
    <w:p w14:paraId="1AFAE00D" w14:textId="27169CBE"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40"/>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59BD5EB5" w14:textId="2C8AE71C" w:rsidR="00ED0A54"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41"/>
      </w:r>
      <w:r w:rsidRPr="001975FA">
        <w:t>.</w:t>
      </w:r>
    </w:p>
    <w:p w14:paraId="7ABE60D2" w14:textId="67D0EA59" w:rsidR="00ED0A54" w:rsidRDefault="00642E8F" w:rsidP="00EC1A29">
      <w:r>
        <w:t>Tegen het projectbesluit kan rechtstreeks beroep bij de Afdeling bestuursrechtspraak van de Raad van State worden ingesteld</w:t>
      </w:r>
      <w:r>
        <w:rPr>
          <w:rStyle w:val="Voetnootmarkering"/>
        </w:rPr>
        <w:footnoteReference w:id="242"/>
      </w:r>
      <w:r>
        <w:t xml:space="preserve"> (zie </w:t>
      </w:r>
      <w:r w:rsidR="005A5F46">
        <w:t>hier</w:t>
      </w:r>
      <w:r>
        <w:t>voor verder paragra</w:t>
      </w:r>
      <w:r w:rsidR="005A5F46">
        <w:t xml:space="preserve">fen </w:t>
      </w:r>
      <w:r w:rsidR="005A5F46">
        <w:fldChar w:fldCharType="begin"/>
      </w:r>
      <w:r w:rsidR="005A5F46">
        <w:instrText xml:space="preserve"> REF _Ref_235de80b63f402fa5c1b8456b222e5cb_4 \n \h </w:instrText>
      </w:r>
      <w:r w:rsidR="005A5F46">
        <w:fldChar w:fldCharType="separate"/>
      </w:r>
      <w:r w:rsidR="00D33EA9">
        <w:t>10.8.5.1.4</w:t>
      </w:r>
      <w:r w:rsidR="005A5F46">
        <w:fldChar w:fldCharType="end"/>
      </w:r>
      <w:r w:rsidR="005A5F46">
        <w:t xml:space="preserve"> en</w:t>
      </w:r>
      <w:r>
        <w:t xml:space="preserve"> </w:t>
      </w:r>
      <w:r w:rsidR="00B72B44">
        <w:rPr>
          <w:rStyle w:val="Verwijzing"/>
        </w:rPr>
        <w:fldChar w:fldCharType="begin"/>
      </w:r>
      <w:r w:rsidR="00B72B44">
        <w:instrText xml:space="preserve"> REF _Ref_4fb2adae78b0658809a49eb52b18b178_1 \n \h </w:instrText>
      </w:r>
      <w:r w:rsidR="00B72B44">
        <w:rPr>
          <w:rStyle w:val="Verwijzing"/>
        </w:rPr>
      </w:r>
      <w:r w:rsidR="00B72B44">
        <w:rPr>
          <w:rStyle w:val="Verwijzing"/>
        </w:rPr>
        <w:fldChar w:fldCharType="separate"/>
      </w:r>
      <w:r w:rsidR="00D33EA9">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43"/>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44"/>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45"/>
      </w:r>
      <w:r w:rsidR="0075478A">
        <w:t>.</w:t>
      </w:r>
    </w:p>
    <w:p w14:paraId="3D2245AC" w14:textId="74955D35"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46"/>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47"/>
      </w:r>
      <w:r>
        <w:t xml:space="preserve">. De terinzagelegging geschiedt zowel op elektronische wijze als op een door </w:t>
      </w:r>
      <w:r w:rsidRPr="00CB765D">
        <w:t>provincie of Rijk</w:t>
      </w:r>
      <w:r>
        <w:t xml:space="preserve"> aan te wijzen locatie</w:t>
      </w:r>
      <w:r>
        <w:rPr>
          <w:rStyle w:val="Voetnootmarkering"/>
        </w:rPr>
        <w:footnoteReference w:id="248"/>
      </w:r>
      <w:r>
        <w:t xml:space="preserve">. De terinzagelegging vindt niet plaats in </w:t>
      </w:r>
      <w:r w:rsidRPr="00F0063E">
        <w:t xml:space="preserve">provinciaal blad </w:t>
      </w:r>
      <w:r>
        <w:t xml:space="preserve">of </w:t>
      </w:r>
      <w:r w:rsidRPr="00F0063E">
        <w:t>Staatscourant</w:t>
      </w:r>
      <w:r>
        <w:rPr>
          <w:rStyle w:val="Voetnootmarkering"/>
        </w:rPr>
        <w:footnoteReference w:id="249"/>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w:t>
      </w:r>
      <w:r w:rsidR="00721C21" w:rsidRPr="00721C21">
        <w:lastRenderedPageBreak/>
        <w:t xml:space="preserve">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250"/>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51"/>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52"/>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1047" w:name="_Ref_235de80b63f402fa5c1b8456b222e5cb_3"/>
      <w:r>
        <w:t>G</w:t>
      </w:r>
      <w:r w:rsidRPr="00E41A42">
        <w:t>oedkeuring</w:t>
      </w:r>
      <w:r>
        <w:t>, b</w:t>
      </w:r>
      <w:r w:rsidRPr="00A47F2E">
        <w:t xml:space="preserve">ekendmaking </w:t>
      </w:r>
      <w:r>
        <w:t>en terinzagelegging bij projectbesluit waterschap</w:t>
      </w:r>
      <w:bookmarkEnd w:id="1047"/>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53"/>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54"/>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1A104A1C" w14:textId="54BB359E" w:rsidR="00ED0A54" w:rsidRDefault="00EC1A29"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255"/>
      </w:r>
      <w:r>
        <w:t>. Deze termijn kan niet verdaagd worden en niet tijdig beslissen leidt niet tot een p</w:t>
      </w:r>
      <w:r w:rsidRPr="00CE2D0C">
        <w:t>ositieve fictieve beschikking</w:t>
      </w:r>
      <w:r>
        <w:rPr>
          <w:rStyle w:val="Voetnootmarkering"/>
        </w:rPr>
        <w:footnoteReference w:id="256"/>
      </w:r>
      <w:r>
        <w:t>. Het besluit van GS kan inhouden dat zij het projectbesluit goedkeuren, gedeeltelijk goedkeuren of dat zij goedkeuring onthouden</w:t>
      </w:r>
      <w:r>
        <w:rPr>
          <w:rStyle w:val="Voetnootmarkering"/>
        </w:rPr>
        <w:footnoteReference w:id="257"/>
      </w:r>
      <w:r>
        <w:t xml:space="preserve">. </w:t>
      </w:r>
      <w:r w:rsidRPr="00822C6E">
        <w:t xml:space="preserve">Gedeeltelijke </w:t>
      </w:r>
      <w:r w:rsidRPr="00822C6E">
        <w:lastRenderedPageBreak/>
        <w:t xml:space="preserve">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58"/>
      </w:r>
      <w:r w:rsidRPr="00822C6E">
        <w:t>.</w:t>
      </w:r>
    </w:p>
    <w:p w14:paraId="5239D855" w14:textId="7DF7DFB2" w:rsidR="00EC1A29" w:rsidRDefault="00EC1A29" w:rsidP="00EC1A29">
      <w:pPr>
        <w:pStyle w:val="Opsommingtekens1"/>
      </w:pPr>
      <w:r>
        <w:t>GS maken hun besluit over</w:t>
      </w:r>
      <w:r w:rsidRPr="00257939">
        <w:t xml:space="preserve"> </w:t>
      </w:r>
      <w:r>
        <w:t>de goedkeuring bekend door het aan het waterschap toe te zenden</w:t>
      </w:r>
      <w:r>
        <w:rPr>
          <w:rStyle w:val="Voetnootmarkering"/>
        </w:rPr>
        <w:footnoteReference w:id="259"/>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60"/>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61"/>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62"/>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63"/>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64"/>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65"/>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66"/>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lastRenderedPageBreak/>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67"/>
      </w:r>
      <w:r w:rsidR="00AC4732">
        <w:t>.</w:t>
      </w:r>
      <w:r w:rsidR="00206879">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68"/>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69"/>
      </w:r>
      <w:r>
        <w:t xml:space="preserve"> en van het feit dat tegen het projectbesluit beroep kan worden ingesteld, door wie, binnen welke termijn en bij welk orgaan</w:t>
      </w:r>
      <w:r>
        <w:rPr>
          <w:rStyle w:val="Voetnootmarkering"/>
        </w:rPr>
        <w:footnoteReference w:id="270"/>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71"/>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72"/>
      </w:r>
      <w:r>
        <w:t xml:space="preserve">. De terinzagelegging geschiedt zowel op elektronische wijze als op een door </w:t>
      </w:r>
      <w:r w:rsidRPr="00CB765D">
        <w:t>provincie of Rijk</w:t>
      </w:r>
      <w:r>
        <w:t xml:space="preserve"> aan te wijzen locatie</w:t>
      </w:r>
      <w:r>
        <w:rPr>
          <w:rStyle w:val="Voetnootmarkering"/>
        </w:rPr>
        <w:footnoteReference w:id="273"/>
      </w:r>
      <w:r>
        <w:t xml:space="preserve">. De terinzagelegging vindt niet plaats in </w:t>
      </w:r>
      <w:r w:rsidRPr="00F0063E">
        <w:t xml:space="preserve">provinciaal blad </w:t>
      </w:r>
      <w:r>
        <w:t xml:space="preserve">of </w:t>
      </w:r>
      <w:r w:rsidRPr="00F0063E">
        <w:t>Staatscourant</w:t>
      </w:r>
      <w:r>
        <w:rPr>
          <w:rStyle w:val="Voetnootmarkering"/>
        </w:rPr>
        <w:footnoteReference w:id="274"/>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75"/>
      </w:r>
      <w:r>
        <w:t xml:space="preserve">. De </w:t>
      </w:r>
      <w:r w:rsidRPr="001A08CC">
        <w:t>stukken liggen ter inzage totdat de beroepstermijn is verstreken</w:t>
      </w:r>
      <w:r>
        <w:rPr>
          <w:rStyle w:val="Voetnootmarkering"/>
        </w:rPr>
        <w:footnoteReference w:id="276"/>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277"/>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78"/>
      </w:r>
      <w:r>
        <w:t>.</w:t>
      </w:r>
    </w:p>
    <w:p w14:paraId="37D5D190" w14:textId="77777777" w:rsidR="00EC1A29" w:rsidRDefault="00EC1A29" w:rsidP="00EC1A29"/>
    <w:p w14:paraId="20D5492C" w14:textId="77777777"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xml:space="preserve">. Zoals gezegd wordt het besluit over de goedkeuring bekend gemaakt door toezending van dat besluit door GS aan het waterschap. </w:t>
      </w:r>
      <w:r>
        <w:lastRenderedPageBreak/>
        <w:t>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79"/>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1048" w:name="_Ref_235de80b63f402fa5c1b8456b222e5cb_4"/>
      <w:r>
        <w:t>Beroep</w:t>
      </w:r>
      <w:bookmarkEnd w:id="1048"/>
    </w:p>
    <w:p w14:paraId="468779FC" w14:textId="32615CBD"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80"/>
      </w:r>
      <w:r>
        <w:t xml:space="preserve"> (zie voor de beroepsfase verder paragraaf </w:t>
      </w:r>
      <w:r w:rsidR="00B72B44">
        <w:fldChar w:fldCharType="begin"/>
      </w:r>
      <w:r w:rsidR="00B72B44">
        <w:instrText xml:space="preserve"> REF _Ref_4fb2adae78b0658809a49eb52b18b178_2 \n \h </w:instrText>
      </w:r>
      <w:r w:rsidR="00B72B44">
        <w:fldChar w:fldCharType="separate"/>
      </w:r>
      <w:r w:rsidR="00D33EA9">
        <w:t>10.8.6</w:t>
      </w:r>
      <w:r w:rsidR="00B72B44">
        <w:fldChar w:fldCharType="end"/>
      </w:r>
      <w:r>
        <w:t xml:space="preserve">). </w:t>
      </w:r>
      <w:r w:rsidRPr="00DA45EA">
        <w:t>De termijn voor het indienen van een beroepschrift bedraagt zes weken</w:t>
      </w:r>
      <w:r>
        <w:rPr>
          <w:rStyle w:val="Voetnootmarkering"/>
        </w:rPr>
        <w:footnoteReference w:id="281"/>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82"/>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83"/>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84"/>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85"/>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 xml:space="preserve">vanwege </w:t>
      </w:r>
      <w:r w:rsidRPr="000279AF">
        <w:lastRenderedPageBreak/>
        <w:t>spoedeisende omstandigheden nodig is, kan het bevoegd gezag bepalen dat het projectbesluit eerder in werking treedt</w:t>
      </w:r>
      <w:r>
        <w:rPr>
          <w:rStyle w:val="Voetnootmarkering"/>
        </w:rPr>
        <w:footnoteReference w:id="286"/>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sidR="002445BE">
        <w:rPr>
          <w:rStyle w:val="Voetnootmarkering"/>
        </w:rPr>
        <w:footnoteReference w:id="287"/>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