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1296" w:name="_Ref_4063d02e5f654b934fe9a32a77d02c2b_1"/>
      <w:commentRangeStart w:id="1300"/>
      <w:r>
        <w:t xml:space="preserve">Kennisgeving </w:t>
      </w:r>
      <w:commentRangeEnd w:id="1300"/>
      <w:r w:rsidR="004E2020">
        <w:rPr>
          <w:rStyle w:val="Verwijzingopmerking"/>
          <w:bCs w:val="0"/>
          <w:i w:val="0"/>
          <w:iCs w:val="0"/>
        </w:rPr>
        <w:commentReference w:id="1300"/>
      </w:r>
      <w:r>
        <w:t>definitief besluit</w:t>
      </w:r>
      <w:bookmarkEnd w:id="1296"/>
    </w:p>
    <w:p w14:paraId="448798E7" w14:textId="77777777" w:rsidR="00EC1A29" w:rsidRDefault="00EC1A29" w:rsidP="00EC1A29">
      <w:pPr>
        <w:pStyle w:val="Kop6"/>
      </w:pPr>
      <w:r>
        <w:t>Inhoud en aanlevering kennisgeving</w:t>
      </w:r>
    </w:p>
    <w:p w14:paraId="579B4457" w14:textId="1EFCED6C" w:rsidR="00EC1A29" w:rsidRDefault="00EC1A29" w:rsidP="00EC1A29">
      <w:r>
        <w:t xml:space="preserve">Zoals in de paragrafen </w:t>
      </w:r>
      <w:r>
        <w:rPr>
          <w:rStyle w:val="Verwijzing"/>
        </w:rPr>
        <w:fldChar w:fldCharType="begin" w:fldLock="1"/>
      </w:r>
      <w:r>
        <w:instrText xml:space="preserve"> REF _Ref_c5780cbb507333fe89002a1d2739d5c2_2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_Ref_c5780cbb507333fe89002a1d2739d5c2_4 \n \h </w:instrText>
      </w:r>
      <w:r>
        <w:fldChar w:fldCharType="separate"/>
      </w:r>
      <w:r w:rsidR="00C235A5">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t>een zakelijke weergave van de inhoud</w:t>
      </w:r>
      <w:r>
        <w:t xml:space="preserve"> van het projectbesluit</w:t>
      </w:r>
      <w:r>
        <w:rPr>
          <w:rStyle w:val="Voetnootmarkering"/>
        </w:rPr>
        <w:footnoteReference w:id="285"/>
      </w:r>
      <w:r>
        <w:t>:</w:t>
      </w:r>
    </w:p>
    <w:p w14:paraId="710345B4" w14:textId="77777777" w:rsidR="00EC1A29" w:rsidRDefault="00EC1A29" w:rsidP="00EC1A29">
      <w:pPr>
        <w:pStyle w:val="Opsommingtekens2"/>
      </w:pPr>
      <w:r>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86"/>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87"/>
      </w:r>
      <w:r>
        <w:t>.</w:t>
      </w:r>
    </w:p>
    <w:p w14:paraId="13F09A76" w14:textId="77777777" w:rsidR="00EC1A29" w:rsidRDefault="00EC1A29" w:rsidP="00EC1A29">
      <w:r>
        <w:lastRenderedPageBreak/>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_Ref_c5780cbb507333fe89002a1d2739d5c2_4 \n \h </w:instrText>
      </w:r>
      <w:r>
        <w:fldChar w:fldCharType="separate"/>
      </w:r>
      <w:r w:rsidRPr="00DF3BF8">
        <w:rPr>
          <w:rStyle w:val="Verwijzing"/>
        </w:rPr>
        <w:t>10.6.4.1.3</w:t>
      </w:r>
      <w:r>
        <w:fldChar w:fldCharType="end"/>
      </w:r>
      <w:r>
        <w:t>).</w:t>
      </w:r>
    </w:p>
    <w:p w14:paraId="10626D13" w14:textId="77777777" w:rsidR="00EC1A29" w:rsidRDefault="00EC1A29" w:rsidP="00EC1A29"/>
    <w:p w14:paraId="3D54493A" w14:textId="02998B72" w:rsidR="00C235A5"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_Ref_ec051a0803149cc62fc2e6db9a6f547d_8 \n \h </w:instrText>
      </w:r>
      <w:r w:rsidR="00EC23C3">
        <w:rPr>
          <w:rStyle w:val="Verwijzing"/>
        </w:rPr>
      </w:r>
      <w:r w:rsidR="00EC23C3">
        <w:rPr>
          <w:rStyle w:val="Verwijzing"/>
        </w:rPr>
        <w:fldChar w:fldCharType="separate"/>
      </w:r>
      <w:r w:rsidR="00C235A5">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658A11B5"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commentRangeStart w:id="1302"/>
      <w:r>
        <w:t>Kennisgevingmetadata</w:t>
      </w:r>
      <w:commentRangeEnd w:id="1302"/>
      <w:r w:rsidR="004E2020">
        <w:rPr>
          <w:rStyle w:val="Verwijzingopmerking"/>
          <w:bCs w:val="0"/>
          <w:i w:val="0"/>
        </w:rPr>
        <w:commentReference w:id="1302"/>
      </w:r>
    </w:p>
    <w:p w14:paraId="20EF0B1C" w14:textId="0B2F9E4A"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291BA5" w14:textId="57873395" w:rsidR="00C235A5"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73167B5B"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1303" w:name="_Ref_4063d02e5f654b934fe9a32a77d02c2b_2"/>
      <w:commentRangeStart w:id="1304"/>
      <w:commentRangeStart w:id="1305"/>
      <w:commentRangeStart w:id="1306"/>
      <w:r w:rsidRPr="007A0873">
        <w:lastRenderedPageBreak/>
        <w:t>Procedureverloop</w:t>
      </w:r>
      <w:bookmarkEnd w:id="1303"/>
      <w:commentRangeEnd w:id="1304"/>
      <w:r w:rsidR="004E2020">
        <w:rPr>
          <w:rStyle w:val="Verwijzingopmerking"/>
          <w:bCs w:val="0"/>
          <w:i w:val="0"/>
        </w:rPr>
        <w:commentReference w:id="1304"/>
      </w:r>
      <w:commentRangeEnd w:id="1305"/>
      <w:r w:rsidR="004E2020">
        <w:rPr>
          <w:rStyle w:val="Verwijzingopmerking"/>
          <w:bCs w:val="0"/>
          <w:i w:val="0"/>
        </w:rPr>
        <w:commentReference w:id="1305"/>
      </w:r>
      <w:commentRangeEnd w:id="1306"/>
      <w:r w:rsidR="00E972F2">
        <w:rPr>
          <w:rStyle w:val="Verwijzingopmerking"/>
          <w:bCs w:val="0"/>
          <w:i w:val="0"/>
        </w:rPr>
        <w:commentReference w:id="1306"/>
      </w:r>
    </w:p>
    <w:p w14:paraId="63AF1B71" w14:textId="4B1A9E3C"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0400171B" w14:textId="78D2CA8C" w:rsidR="00C235A5"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_Ref_0448cdc73e80e4329ba98791fd401684_5 \n \h </w:instrText>
      </w:r>
      <w:r w:rsidR="004B7C84">
        <w:fldChar w:fldCharType="separate"/>
      </w:r>
      <w:r w:rsidR="00C235A5">
        <w:t>10.8.5.3.5</w:t>
      </w:r>
      <w:r w:rsidR="004B7C84">
        <w:fldChar w:fldCharType="end"/>
      </w:r>
      <w:r w:rsidRPr="007A0873">
        <w:t xml:space="preserve"> </w:t>
      </w:r>
      <w:r>
        <w:t xml:space="preserve">Het Procedureverloop </w:t>
      </w:r>
      <w:r w:rsidRPr="007A0873">
        <w:t>wordt vervolgens met een Procedureverloopmutatie bij de kennisgeving gemuteerd.</w:t>
      </w:r>
    </w:p>
    <w:p w14:paraId="15AAE2FF" w14:textId="1283290C"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