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CE04" w14:textId="77777777" w:rsidR="00C24D12" w:rsidRPr="00CF1CBC" w:rsidRDefault="00C24D12" w:rsidP="00C24D12">
      <w:pPr>
        <w:pStyle w:val="Kop5"/>
      </w:pPr>
      <w:bookmarkStart w:id="1356" w:name="_Ref_d34c1f2b291c0932d3fcd15ef35be283_1"/>
      <w:r>
        <w:t>Inleiding</w:t>
      </w:r>
      <w:bookmarkEnd w:id="1356"/>
    </w:p>
    <w:p w14:paraId="5EA01571" w14:textId="3A5968E9" w:rsidR="00C24D12" w:rsidRDefault="00487645" w:rsidP="00C24D12">
      <w:pPr>
        <w:pStyle w:val="Figuur"/>
      </w:pPr>
      <w:r>
        <w:rPr>
          <w:noProof/>
        </w:rPr>
        <w:drawing>
          <wp:inline distT="0" distB="0" distL="0" distR="0" wp14:anchorId="131A800C" wp14:editId="19F291DB">
            <wp:extent cx="4067175" cy="1156925"/>
            <wp:effectExtent l="0" t="0" r="0" b="571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pic:cNvPicPr/>
                  </pic:nvPicPr>
                  <pic:blipFill>
                    <a:blip r:embed="rId159"/>
                    <a:stretch>
                      <a:fillRect/>
                    </a:stretch>
                  </pic:blipFill>
                  <pic:spPr>
                    <a:xfrm>
                      <a:off x="0" y="0"/>
                      <a:ext cx="4120462" cy="1172083"/>
                    </a:xfrm>
                    <a:prstGeom prst="rect">
                      <a:avLst/>
                    </a:prstGeom>
                  </pic:spPr>
                </pic:pic>
              </a:graphicData>
            </a:graphic>
          </wp:inline>
        </w:drawing>
      </w:r>
    </w:p>
    <w:p w14:paraId="3E636D69" w14:textId="4C0C87AB" w:rsidR="00C24D12" w:rsidRPr="008700BC" w:rsidRDefault="00C24D12" w:rsidP="00C24D12">
      <w:pPr>
        <w:pStyle w:val="Figuurbijschrift"/>
      </w:pPr>
      <w:r>
        <w:t xml:space="preserve">Voorbereidingsfase in de procedure van </w:t>
      </w:r>
      <w:r w:rsidR="0018710F">
        <w:t>het voorbereidingsbesluit</w:t>
      </w:r>
    </w:p>
    <w:p w14:paraId="2BFF4373" w14:textId="78C5E3CC" w:rsidR="007538D1" w:rsidRDefault="00C5465C" w:rsidP="00C24D12">
      <w:r>
        <w:t>D</w:t>
      </w:r>
      <w:r w:rsidR="00C24D12">
        <w:t>e procedure van e</w:t>
      </w:r>
      <w:r w:rsidR="00C24D12" w:rsidRPr="003316BC">
        <w:t xml:space="preserve">en </w:t>
      </w:r>
      <w:r>
        <w:t>voorbereidings</w:t>
      </w:r>
      <w:r w:rsidR="00C24D12" w:rsidRPr="003316BC">
        <w:t xml:space="preserve">besluit </w:t>
      </w:r>
      <w:r>
        <w:t xml:space="preserve">begint </w:t>
      </w:r>
      <w:r w:rsidR="00C24D12" w:rsidRPr="003316BC">
        <w:t>met een</w:t>
      </w:r>
      <w:r w:rsidR="00C24D12" w:rsidRPr="00E10472">
        <w:t xml:space="preserve"> </w:t>
      </w:r>
      <w:r w:rsidR="00C24D12" w:rsidRPr="003316BC">
        <w:t xml:space="preserve">voorbereidende fase. </w:t>
      </w:r>
      <w:r w:rsidR="00795FFA">
        <w:t xml:space="preserve">Het bestuursorgaan </w:t>
      </w:r>
      <w:r w:rsidR="002A178E">
        <w:t xml:space="preserve">van </w:t>
      </w:r>
      <w:r w:rsidR="00FF4257">
        <w:t>provincie of Rijk</w:t>
      </w:r>
      <w:r w:rsidR="0055185D">
        <w:t xml:space="preserve"> </w:t>
      </w:r>
      <w:r w:rsidR="002A178E">
        <w:t xml:space="preserve">dat </w:t>
      </w:r>
      <w:r w:rsidR="00B912EF" w:rsidRPr="00B912EF">
        <w:t xml:space="preserve">een voorbereidingsbesluit </w:t>
      </w:r>
      <w:r w:rsidR="009A0275" w:rsidRPr="009A0275">
        <w:t xml:space="preserve">neemt </w:t>
      </w:r>
      <w:r w:rsidR="00B912EF" w:rsidRPr="00B912EF">
        <w:t>op grond van artikel 4.16</w:t>
      </w:r>
      <w:r w:rsidR="00B912EF">
        <w:t xml:space="preserve"> Ow</w:t>
      </w:r>
      <w:r w:rsidR="00F6613C">
        <w:t xml:space="preserve">, het voorbereidingsbesluit dat het omgevingsplan met voorbeschermingsregels wijzigt, </w:t>
      </w:r>
      <w:r w:rsidR="006463E4">
        <w:t>moet</w:t>
      </w:r>
      <w:r w:rsidR="002A178E">
        <w:t xml:space="preserve"> voorafgaand aan het nemen van dat besluit </w:t>
      </w:r>
      <w:r w:rsidR="00462E18" w:rsidRPr="00462E18">
        <w:t xml:space="preserve">overleg </w:t>
      </w:r>
      <w:r w:rsidR="006463E4">
        <w:t xml:space="preserve">voeren </w:t>
      </w:r>
      <w:r w:rsidR="00462E18" w:rsidRPr="00462E18">
        <w:t>met het college van burgemeester en wethouders of de gemeenteraad</w:t>
      </w:r>
      <w:r w:rsidR="007D1DC0">
        <w:rPr>
          <w:rStyle w:val="Voetnootmarkering"/>
        </w:rPr>
        <w:footnoteReference w:id="318"/>
      </w:r>
      <w:r w:rsidR="00462E18" w:rsidRPr="00462E18">
        <w:t>.</w:t>
      </w:r>
      <w:r w:rsidR="009A0275">
        <w:t xml:space="preserve"> </w:t>
      </w:r>
      <w:r w:rsidR="004A10ED">
        <w:t>Voor voorbereidingsbesluiten op grond van artikel 4.14</w:t>
      </w:r>
      <w:r w:rsidR="00FF2466">
        <w:t xml:space="preserve"> Ow, het voorbereidingsbesluit van de gemeente </w:t>
      </w:r>
      <w:r w:rsidR="00125289">
        <w:t xml:space="preserve">gericht op </w:t>
      </w:r>
      <w:r w:rsidR="00FF2466">
        <w:t xml:space="preserve">het </w:t>
      </w:r>
      <w:r w:rsidR="00125289">
        <w:t xml:space="preserve">eigen omgevingsplan. en artikel 4.15 Ow, </w:t>
      </w:r>
      <w:r w:rsidR="00125289" w:rsidRPr="00125289">
        <w:t xml:space="preserve">het voorbereidingsbesluit </w:t>
      </w:r>
      <w:r w:rsidR="00125289" w:rsidRPr="00125289">
        <w:lastRenderedPageBreak/>
        <w:t xml:space="preserve">van de </w:t>
      </w:r>
      <w:r w:rsidR="00125289">
        <w:t>provincie</w:t>
      </w:r>
      <w:r w:rsidR="00125289" w:rsidRPr="00125289">
        <w:t xml:space="preserve"> gericht op </w:t>
      </w:r>
      <w:r w:rsidR="00125289">
        <w:t xml:space="preserve">de </w:t>
      </w:r>
      <w:r w:rsidR="00125289" w:rsidRPr="00125289">
        <w:t>eigen omgevings</w:t>
      </w:r>
      <w:r w:rsidR="00125289">
        <w:t xml:space="preserve">verordening, gelden </w:t>
      </w:r>
      <w:r w:rsidR="00012B8D">
        <w:t>geen procedurele eisen in de voorbereidingsfase.</w:t>
      </w:r>
    </w:p>
    <w:p w14:paraId="156BFADA" w14:textId="35F49282" w:rsidR="002F6AA0" w:rsidRDefault="002F6AA0" w:rsidP="00C24D12">
      <w:r>
        <w:t xml:space="preserve">Voor het voorbereidingsbesluit geldt geen </w:t>
      </w:r>
      <w:r w:rsidR="00027B49">
        <w:t xml:space="preserve">wettelijke </w:t>
      </w:r>
      <w:r>
        <w:t xml:space="preserve">verplichting om </w:t>
      </w:r>
      <w:r w:rsidR="00027B49" w:rsidRPr="00027B49">
        <w:t>afdeling 3.4 Awb</w:t>
      </w:r>
      <w:r w:rsidR="00027B49">
        <w:t xml:space="preserve"> toe te passen. Gezien het karakter van het voorbereidingsbesluit </w:t>
      </w:r>
      <w:r w:rsidR="00462185">
        <w:t xml:space="preserve">zal het bestuursorgaan ook niet zelf besluiten om </w:t>
      </w:r>
      <w:r w:rsidR="00462185" w:rsidRPr="00462185">
        <w:t>afdeling 3.4 Awb</w:t>
      </w:r>
      <w:r w:rsidR="00462185">
        <w:t xml:space="preserve"> toe te passen. Bij het voorbereidingsbesluit wordt dus geen ontwerp</w:t>
      </w:r>
      <w:r w:rsidR="00BE3DAB">
        <w:t>besluit</w:t>
      </w:r>
      <w:r w:rsidR="00462185">
        <w:t xml:space="preserve"> </w:t>
      </w:r>
      <w:r w:rsidR="00CD4749">
        <w:t>ter inzage gelegd</w:t>
      </w:r>
      <w:r w:rsidR="00E34912">
        <w:t xml:space="preserve"> of medegedeeld en er kunnen geen zienswijzen worden ingediend. Na </w:t>
      </w:r>
      <w:r w:rsidR="00C12EE8">
        <w:t>het opstellen van het voorbereidingsbesluit volgt direct de fase van vaststelling, bekendmaking en inwerkingtreden.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9" Type="http://schemas.openxmlformats.org/officeDocument/2006/relationships/image" Target="media/image_8ccb5ce4b735e1b7cd8da3381e142fc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