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69A3" w14:textId="77777777" w:rsidR="00C24D12" w:rsidRDefault="00C24D12" w:rsidP="00C24D12">
      <w:pPr>
        <w:pStyle w:val="Kop5"/>
      </w:pPr>
      <w:r>
        <w:t>Juridisch kader</w:t>
      </w:r>
    </w:p>
    <w:p w14:paraId="7C4C1AE4" w14:textId="56AF0659" w:rsidR="00C57A1C" w:rsidRDefault="0041292C" w:rsidP="00C57A1C">
      <w:r>
        <w:t>Gemeenteraad, p</w:t>
      </w:r>
      <w:r w:rsidR="00C57A1C" w:rsidRPr="009D0153">
        <w:t xml:space="preserve">rovinciale staten </w:t>
      </w:r>
      <w:r w:rsidR="00145391">
        <w:t xml:space="preserve">respectievelijk de minister die het aangaat </w:t>
      </w:r>
      <w:r w:rsidR="004F1A69">
        <w:t>nemen het voorbereidingsbesluit</w:t>
      </w:r>
      <w:r w:rsidR="00C57A1C">
        <w:rPr>
          <w:rStyle w:val="Voetnootmarkering"/>
        </w:rPr>
        <w:footnoteReference w:id="313"/>
      </w:r>
      <w:r w:rsidR="00C57A1C">
        <w:t xml:space="preserve">. </w:t>
      </w:r>
      <w:r w:rsidR="0046276A">
        <w:t>De gemeenteraad kan die bevoegdheid delegeren aan het college van burgemeester en wethouders</w:t>
      </w:r>
      <w:r w:rsidR="003F5952">
        <w:rPr>
          <w:rStyle w:val="Voetnootmarkering"/>
        </w:rPr>
        <w:footnoteReference w:id="314"/>
      </w:r>
      <w:r w:rsidR="0046276A">
        <w:t>, p</w:t>
      </w:r>
      <w:r w:rsidR="00C57A1C" w:rsidRPr="00C02191">
        <w:t xml:space="preserve">rovinciale staten kunnen </w:t>
      </w:r>
      <w:r w:rsidR="00C57A1C">
        <w:t xml:space="preserve">de bevoegdheid </w:t>
      </w:r>
      <w:r w:rsidR="00C57A1C" w:rsidRPr="007C3B79">
        <w:t xml:space="preserve">delegeren aan </w:t>
      </w:r>
      <w:r w:rsidR="00C57A1C" w:rsidRPr="00F74272">
        <w:t>gedeputeerde staten</w:t>
      </w:r>
      <w:r w:rsidR="00C57A1C">
        <w:rPr>
          <w:rStyle w:val="Voetnootmarkering"/>
        </w:rPr>
        <w:footnoteReference w:id="315"/>
      </w:r>
      <w:r w:rsidR="00C57A1C">
        <w:t xml:space="preserve">. </w:t>
      </w:r>
    </w:p>
    <w:p w14:paraId="659043D9" w14:textId="14ECDBC2" w:rsidR="00C403F8" w:rsidRDefault="00C403F8" w:rsidP="00C403F8">
      <w:r>
        <w:t>D</w:t>
      </w:r>
      <w:r w:rsidRPr="00E54BDF">
        <w:t xml:space="preserve">e afdelingen 3.6 en 3.7 van </w:t>
      </w:r>
      <w:r>
        <w:t xml:space="preserve">de Awb zijn </w:t>
      </w:r>
      <w:r w:rsidRPr="00E54BDF">
        <w:t xml:space="preserve">van toepassing op </w:t>
      </w:r>
      <w:r w:rsidR="00E11C7C">
        <w:t>het voorbereidings</w:t>
      </w:r>
      <w:r w:rsidRPr="00E54BDF">
        <w:t>besluit.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rsidR="00E11C7C" w:rsidRPr="00E11C7C">
        <w:t xml:space="preserve">voorbereidingsbesluit </w:t>
      </w:r>
      <w:r w:rsidRPr="00E54BDF">
        <w:t>van toepassing zijn, datzelfde geldt voor de Awb-bepalingen over de motivering van besluiten.</w:t>
      </w:r>
    </w:p>
    <w:p w14:paraId="7839A030" w14:textId="18414942" w:rsidR="006E74B4" w:rsidRDefault="00C403F8" w:rsidP="00C403F8">
      <w:r>
        <w:t xml:space="preserve">Het </w:t>
      </w:r>
      <w:r w:rsidR="006C430B" w:rsidRPr="006C430B">
        <w:t xml:space="preserve">voorbereidingsbesluit </w:t>
      </w:r>
      <w:r w:rsidRPr="001975FA">
        <w:t>dient te berusten op een deugdelijke motivering</w:t>
      </w:r>
      <w:r>
        <w:t xml:space="preserve">, die moet worden </w:t>
      </w:r>
      <w:r w:rsidRPr="00112897">
        <w:t xml:space="preserve">vermeld bij de bekendmaking van het </w:t>
      </w:r>
      <w:r w:rsidR="006C430B" w:rsidRPr="006C430B">
        <w:t>voorbereidingsbesluit</w:t>
      </w:r>
      <w:r>
        <w:rPr>
          <w:rStyle w:val="Voetnootmarkering"/>
        </w:rPr>
        <w:footnoteReference w:id="316"/>
      </w:r>
      <w:r w:rsidRPr="001975FA">
        <w:t>.</w:t>
      </w:r>
    </w:p>
    <w:p w14:paraId="1993E76C" w14:textId="029305C8" w:rsidR="00DA1C31" w:rsidRDefault="00C57A1C" w:rsidP="00C57A1C">
      <w:r w:rsidRPr="000A4423">
        <w:t xml:space="preserve">Het </w:t>
      </w:r>
      <w:r w:rsidR="004E6B8E">
        <w:t>voorbereidings</w:t>
      </w:r>
      <w:r w:rsidRPr="000A4423">
        <w:t xml:space="preserve">besluit </w:t>
      </w:r>
      <w:r>
        <w:t xml:space="preserve">wordt bekendgemaakt door plaatsing ervan in </w:t>
      </w:r>
      <w:r w:rsidR="00C67CB7">
        <w:t>gemeenteblad,</w:t>
      </w:r>
      <w:r>
        <w:t xml:space="preserve"> provinciaal blad</w:t>
      </w:r>
      <w:r w:rsidR="00C67CB7">
        <w:t xml:space="preserve"> of Staatscourant</w:t>
      </w:r>
      <w:r>
        <w:rPr>
          <w:rStyle w:val="Voetnootmarkering"/>
        </w:rPr>
        <w:footnoteReference w:id="317"/>
      </w:r>
      <w:r>
        <w:t xml:space="preserve">. </w:t>
      </w:r>
      <w:r w:rsidR="00947882">
        <w:t xml:space="preserve">Gemeente, </w:t>
      </w:r>
      <w:r w:rsidRPr="00A665FB">
        <w:t xml:space="preserve">provincie </w:t>
      </w:r>
      <w:r w:rsidR="00947882">
        <w:t xml:space="preserve">of Rijk </w:t>
      </w:r>
      <w:r w:rsidRPr="00A665FB">
        <w:t xml:space="preserve">kan zelf de datum van bekendmaking bepalen. </w:t>
      </w:r>
      <w:r w:rsidR="00947882">
        <w:t>Doorgaans zal dat zo kort mogelijk zijn na</w:t>
      </w:r>
      <w:r w:rsidR="00E0521C">
        <w:t>dat</w:t>
      </w:r>
      <w:r w:rsidR="00947882">
        <w:t xml:space="preserve"> het </w:t>
      </w:r>
      <w:r w:rsidR="00E0521C">
        <w:t>bestuursorgaan het voorbereidingsbesluit heeft ge</w:t>
      </w:r>
      <w:r w:rsidR="00947882">
        <w:t>n</w:t>
      </w:r>
      <w:r w:rsidR="00E0521C">
        <w:t>o</w:t>
      </w:r>
      <w:r w:rsidR="00947882">
        <w:t>men</w:t>
      </w:r>
      <w:r w:rsidR="00E0521C">
        <w:t>.</w:t>
      </w:r>
      <w:r w:rsidR="00947882">
        <w:t xml:space="preserve"> </w:t>
      </w:r>
      <w:r>
        <w:t xml:space="preserve">Tegen </w:t>
      </w:r>
      <w:r w:rsidR="00E0521C" w:rsidRPr="00E0521C">
        <w:t xml:space="preserve">het voorbereidingsbesluit </w:t>
      </w:r>
      <w:r>
        <w:t xml:space="preserve">staat geen </w:t>
      </w:r>
      <w:r w:rsidRPr="008E6D40">
        <w:t xml:space="preserve">beroep </w:t>
      </w:r>
      <w:r>
        <w:t>open</w:t>
      </w:r>
      <w:r>
        <w:rPr>
          <w:rStyle w:val="Voetnootmarkering"/>
        </w:rPr>
        <w:footnoteReference w:id="318"/>
      </w:r>
      <w:r w:rsidRPr="008E6D40">
        <w:t>.</w:t>
      </w:r>
      <w:r>
        <w:t xml:space="preserve"> </w:t>
      </w:r>
      <w:r w:rsidR="00DC04DC" w:rsidRPr="00DC04DC">
        <w:t xml:space="preserve">Het voorbereidingsbesluit </w:t>
      </w:r>
      <w:r>
        <w:t xml:space="preserve">treedt </w:t>
      </w:r>
      <w:r w:rsidRPr="00AF6E05">
        <w:t xml:space="preserve">in werking </w:t>
      </w:r>
      <w:r w:rsidR="00D736FC" w:rsidRPr="00D736FC">
        <w:t>na bekendmaking</w:t>
      </w:r>
      <w:r w:rsidR="00623459">
        <w:rPr>
          <w:rStyle w:val="Voetnootmarkering"/>
        </w:rPr>
        <w:footnoteReference w:id="319"/>
      </w:r>
      <w:r w:rsidR="00D736FC" w:rsidRPr="00D736FC">
        <w:t>, dus op de dag na de dag waarop het is bekendgemaakt dan wel op de dag die in het voorbereidingsbesluit is bepaald</w:t>
      </w:r>
      <w:r w:rsidRPr="00AF6E05">
        <w:t>.</w:t>
      </w:r>
      <w:r>
        <w:t xml:space="preserve"> Met de bekendmaking van </w:t>
      </w:r>
      <w:r w:rsidR="003F6394" w:rsidRPr="003F6394">
        <w:t xml:space="preserve">het voorbereidingsbesluit </w:t>
      </w:r>
      <w:r>
        <w:t>is voldaan aan de bekendmakingsvereisten. Er geldt geen verplichting om kennis te geven van de vaststelling of inwerkingtreding.</w:t>
      </w:r>
      <w:r w:rsidR="00EB6780">
        <w:t xml:space="preserve"> </w:t>
      </w:r>
      <w:r w:rsidR="00473BA9">
        <w:t xml:space="preserve">Het </w:t>
      </w:r>
      <w:r w:rsidR="00B26F08">
        <w:t xml:space="preserve">voorbereidingsbesluit is, zoals in </w:t>
      </w:r>
      <w:r w:rsidR="00DA1C31">
        <w:t xml:space="preserve">paragraaf </w:t>
      </w:r>
      <w:r w:rsidR="00DA1C31">
        <w:fldChar w:fldCharType="begin"/>
      </w:r>
      <w:r w:rsidR="00DA1C31">
        <w:instrText xml:space="preserve"> REF _Ref_d34c1f2b291c0932d3fcd15ef35be283_1 \n \h </w:instrText>
      </w:r>
      <w:r w:rsidR="00DA1C31">
        <w:fldChar w:fldCharType="separate"/>
      </w:r>
      <w:r w:rsidR="002D10A5">
        <w:t>10.9.1.1</w:t>
      </w:r>
      <w:r w:rsidR="00DA1C31">
        <w:fldChar w:fldCharType="end"/>
      </w:r>
      <w:r w:rsidR="00DA1C31">
        <w:t xml:space="preserve"> is aangegeven, niet met afdeling 3.4 voorbereid. </w:t>
      </w:r>
      <w:r w:rsidR="004B51C5">
        <w:t xml:space="preserve">Daarom wordt er </w:t>
      </w:r>
      <w:r w:rsidR="001C2466">
        <w:t>geen mededeling van het besluit gedaan aan zienswijzenindieners</w:t>
      </w:r>
      <w:r w:rsidR="000C14B5">
        <w:t xml:space="preserve"> en geldt er geen w</w:t>
      </w:r>
      <w:r w:rsidR="00D240D1">
        <w:t xml:space="preserve">ettelijke verplichting om </w:t>
      </w:r>
      <w:r w:rsidR="00D240D1" w:rsidRPr="00D240D1">
        <w:t>kennis te geven van de terinzagelegging</w:t>
      </w:r>
      <w:r w:rsidR="00D240D1">
        <w:t xml:space="preserve"> van </w:t>
      </w:r>
      <w:r w:rsidR="00D240D1" w:rsidRPr="00D240D1">
        <w:t>op de zaak betrekking hebbende stukken</w:t>
      </w:r>
      <w:r w:rsidR="0024609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