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A2E3" w14:textId="2DD6007F" w:rsidR="00924FA8" w:rsidRDefault="00924FA8" w:rsidP="00924FA8">
      <w:pPr>
        <w:pStyle w:val="Kop4"/>
      </w:pPr>
      <w:bookmarkStart w:id="1109" w:name="_Ref_1690cbe5fd634c9effea2d8e640d206b_1"/>
      <w:r>
        <w:t>Vervallen van voorbeschermingsregels</w:t>
      </w:r>
      <w:bookmarkEnd w:id="1109"/>
    </w:p>
    <w:p w14:paraId="1E05E82D" w14:textId="71B92CAD" w:rsidR="00ED0A54" w:rsidRDefault="009232A2" w:rsidP="002C0394">
      <w:r w:rsidRPr="009232A2">
        <w:t xml:space="preserve">Voorbeschermingsregels zijn tijdelijk omdat ze altijd vervallen. </w:t>
      </w:r>
      <w:r w:rsidR="002C0394">
        <w:t xml:space="preserve">In juridische zin zijn voorbeschermingsregels er niet meer als ze zijn vervallen; daar is geen handeling (of besluit) voor nodig. In de regelingenbank op overheid.nl en in DSO-LV verdwijnen ze niet vanzelf; er moet informatie worden aangeleverd waardoor het tijdelijk regelingdeel met de voorbeschermingsregels daar niet langer getoond wordt. </w:t>
      </w:r>
      <w:r w:rsidR="006F6928">
        <w:t xml:space="preserve">Dat gebeurt door </w:t>
      </w:r>
      <w:r w:rsidR="007C4AB5">
        <w:t xml:space="preserve">-in de ConsolidatieInformatie- </w:t>
      </w:r>
      <w:r w:rsidR="003F5FCB">
        <w:t xml:space="preserve">een </w:t>
      </w:r>
      <w:r w:rsidR="007A5695">
        <w:t xml:space="preserve">Intrekking </w:t>
      </w:r>
      <w:r w:rsidR="007A5695" w:rsidRPr="007A5695">
        <w:t>aan de LVBB aan te leveren</w:t>
      </w:r>
      <w:r w:rsidR="007A5695">
        <w:t>: een</w:t>
      </w:r>
      <w:r w:rsidR="007A5695" w:rsidRPr="007A5695">
        <w:t xml:space="preserve"> </w:t>
      </w:r>
      <w:r w:rsidR="003F5FCB">
        <w:t xml:space="preserve">setje gegevens </w:t>
      </w:r>
      <w:r w:rsidR="0097648F">
        <w:t>dat</w:t>
      </w:r>
      <w:r w:rsidR="003F5FCB">
        <w:t xml:space="preserve"> </w:t>
      </w:r>
      <w:r w:rsidR="004E4997">
        <w:t xml:space="preserve">zorgt voor de technische intrekking van het tijdelijk regelingdeel met voorbeschermingsregels. </w:t>
      </w:r>
      <w:r w:rsidR="007A74C1">
        <w:t xml:space="preserve">Dit is alleen </w:t>
      </w:r>
      <w:r w:rsidR="00C14B13">
        <w:t>ee</w:t>
      </w:r>
      <w:r w:rsidR="007A74C1">
        <w:t xml:space="preserve">n technische intrekking. </w:t>
      </w:r>
      <w:r w:rsidR="00C14B13">
        <w:t xml:space="preserve">In </w:t>
      </w:r>
      <w:r w:rsidR="00C14B13" w:rsidRPr="00C14B13">
        <w:t xml:space="preserve">juridische </w:t>
      </w:r>
      <w:r w:rsidR="00C14B13">
        <w:t xml:space="preserve">zin </w:t>
      </w:r>
      <w:r w:rsidR="007A74C1">
        <w:t xml:space="preserve">is </w:t>
      </w:r>
      <w:r w:rsidR="00C14B13">
        <w:t xml:space="preserve">er </w:t>
      </w:r>
      <w:r w:rsidR="007A74C1">
        <w:t xml:space="preserve">geen </w:t>
      </w:r>
      <w:r w:rsidR="007A74C1">
        <w:lastRenderedPageBreak/>
        <w:t xml:space="preserve">sprake van intrekking van de voorbeschermingsregels of het voorbereidingsbesluit. </w:t>
      </w:r>
      <w:r w:rsidR="00711F11">
        <w:t xml:space="preserve">Op </w:t>
      </w:r>
      <w:r w:rsidR="009567B2">
        <w:t>officielebekendmakingen</w:t>
      </w:r>
      <w:r w:rsidR="00711F11">
        <w:t xml:space="preserve">.nl is </w:t>
      </w:r>
      <w:r w:rsidR="00423D78">
        <w:t xml:space="preserve">-ook na de intrekking van het tijdelijk regelingdeel- </w:t>
      </w:r>
      <w:r w:rsidR="007F1D1D">
        <w:t xml:space="preserve">de bekendmaking van </w:t>
      </w:r>
      <w:r w:rsidR="00711F11">
        <w:t xml:space="preserve">het voorbereidingsbesluit met de </w:t>
      </w:r>
      <w:r w:rsidR="00711F11" w:rsidRPr="00711F11">
        <w:t>voorbeschermingsregels</w:t>
      </w:r>
      <w:r w:rsidR="00711F11">
        <w:t xml:space="preserve"> nog steeds te vinden.</w:t>
      </w:r>
    </w:p>
    <w:p w14:paraId="650CD93F" w14:textId="67F3E30E" w:rsidR="00ED0A54" w:rsidRDefault="0092426D" w:rsidP="002C0394">
      <w:r>
        <w:t>Door</w:t>
      </w:r>
      <w:r w:rsidR="002C0394">
        <w:t xml:space="preserve"> </w:t>
      </w:r>
      <w:r w:rsidR="0077512D">
        <w:t xml:space="preserve">de aanlevering van de Intrekking </w:t>
      </w:r>
      <w:r w:rsidR="002C0394">
        <w:t xml:space="preserve">zorgt de LVBB er voor dat het </w:t>
      </w:r>
      <w:r w:rsidR="002C0394" w:rsidRPr="00C821C3">
        <w:t xml:space="preserve">tijdelijk regelingdeel </w:t>
      </w:r>
      <w:r w:rsidR="002C0394" w:rsidRPr="00AC5291">
        <w:t xml:space="preserve">met daarin de voorbeschermingsregels </w:t>
      </w:r>
      <w:r w:rsidR="004208F6">
        <w:t xml:space="preserve">in de lokale regelingenbank </w:t>
      </w:r>
      <w:r w:rsidR="002C0394" w:rsidRPr="00AC5291">
        <w:t xml:space="preserve">op </w:t>
      </w:r>
      <w:r w:rsidR="002C0394">
        <w:t>overheid.nl</w:t>
      </w:r>
      <w:r w:rsidR="002C0394" w:rsidRPr="00AC5291">
        <w:t xml:space="preserve"> </w:t>
      </w:r>
      <w:r w:rsidR="002C0394" w:rsidRPr="0029766F">
        <w:t xml:space="preserve">niet meer </w:t>
      </w:r>
      <w:r w:rsidR="004208F6">
        <w:t xml:space="preserve">als onderdeel van de geconsolideerde regeling van omgevingsplan of omgevingsverordening </w:t>
      </w:r>
      <w:r w:rsidR="002C0394" w:rsidRPr="0029766F">
        <w:t>getoond word</w:t>
      </w:r>
      <w:r w:rsidR="002C0394">
        <w:t>t. D</w:t>
      </w:r>
      <w:r w:rsidR="00052AE4">
        <w:t>e LVBB geeft d</w:t>
      </w:r>
      <w:r w:rsidR="002C0394">
        <w:t>eze informatie door zodat ook</w:t>
      </w:r>
      <w:r w:rsidR="002C0394" w:rsidRPr="00AC5291">
        <w:t xml:space="preserve"> DSO-LV</w:t>
      </w:r>
      <w:r w:rsidR="002C0394">
        <w:t xml:space="preserve"> het tijdelijk regelingdeel niet meer toont</w:t>
      </w:r>
      <w:r w:rsidR="00D62918">
        <w:t xml:space="preserve"> </w:t>
      </w:r>
      <w:r w:rsidR="00D62918" w:rsidRPr="00D62918">
        <w:t xml:space="preserve">als onderdeel van de </w:t>
      </w:r>
      <w:r w:rsidR="00D62918">
        <w:t xml:space="preserve">actuele </w:t>
      </w:r>
      <w:r w:rsidR="00D62918" w:rsidRPr="00D62918">
        <w:t>geconsolideerde regeling</w:t>
      </w:r>
      <w:r w:rsidR="002C0394" w:rsidRPr="00AC5291">
        <w:t>.</w:t>
      </w:r>
      <w:r w:rsidR="002C0394">
        <w:t xml:space="preserve"> </w:t>
      </w:r>
      <w:r w:rsidR="005B2069">
        <w:t xml:space="preserve">Via tijdreizen in DSO-LV is het tijdelijk regelingdeel </w:t>
      </w:r>
      <w:r w:rsidR="004D3258">
        <w:t xml:space="preserve">nog steeds </w:t>
      </w:r>
      <w:r w:rsidR="005B2069">
        <w:t xml:space="preserve">te vinden. </w:t>
      </w:r>
      <w:r w:rsidR="002C0394">
        <w:t xml:space="preserve">In de volgende paragrafen worden </w:t>
      </w:r>
      <w:r w:rsidR="00912048">
        <w:t xml:space="preserve">voor </w:t>
      </w:r>
      <w:r w:rsidR="002C0394">
        <w:t>de mogelijke scenario</w:t>
      </w:r>
      <w:r w:rsidR="002327A4">
        <w:t>’</w:t>
      </w:r>
      <w:r w:rsidR="002C0394">
        <w:t xml:space="preserve">s van het </w:t>
      </w:r>
      <w:r w:rsidR="00052AE4" w:rsidRPr="00052AE4">
        <w:t xml:space="preserve">vervallen </w:t>
      </w:r>
      <w:r w:rsidR="002C0394">
        <w:t xml:space="preserve">van </w:t>
      </w:r>
      <w:r w:rsidR="00052AE4" w:rsidRPr="00052AE4">
        <w:t xml:space="preserve">voorbeschermingsregels </w:t>
      </w:r>
      <w:r w:rsidR="002C0394">
        <w:t>beschreven</w:t>
      </w:r>
      <w:r w:rsidR="0079290F">
        <w:t xml:space="preserve"> hoe het tijdelijk regelingdeel moet worden ingetrokken, wanneer dat moet gebeuren en welk bevoegd gezag dat moet doen</w:t>
      </w:r>
      <w:r w:rsidR="002C039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