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9341D" w14:textId="11821EE4" w:rsidR="00900C6F" w:rsidRDefault="00900C6F" w:rsidP="00900C6F">
      <w:pPr>
        <w:pStyle w:val="Kop4"/>
      </w:pPr>
      <w:bookmarkStart w:id="1441" w:name="_Ref_07dda026cbb5f564234cd192fe8f1900_1"/>
      <w:bookmarkStart w:id="1443" w:name="_Ref_07dda026cbb5f564234cd192fe8f1900_2"/>
      <w:commentRangeStart w:id="1445"/>
      <w:commentRangeStart w:id="1446"/>
      <w:r>
        <w:t>Ver</w:t>
      </w:r>
      <w:r w:rsidR="004B335F">
        <w:t>werken</w:t>
      </w:r>
      <w:r>
        <w:t xml:space="preserve"> van </w:t>
      </w:r>
      <w:r w:rsidR="004B335F">
        <w:t>reactieve interventie in omgevingsplan</w:t>
      </w:r>
      <w:r w:rsidR="0013620A">
        <w:t xml:space="preserve"> </w:t>
      </w:r>
      <w:r w:rsidR="0013620A" w:rsidRPr="006E712C">
        <w:t xml:space="preserve">en </w:t>
      </w:r>
      <w:r w:rsidR="006E712C" w:rsidRPr="006E712C">
        <w:t>intrekken</w:t>
      </w:r>
      <w:r w:rsidR="0013620A" w:rsidRPr="006E712C">
        <w:t xml:space="preserve"> tijdelijk regelingdeel</w:t>
      </w:r>
      <w:bookmarkEnd w:id="1441"/>
      <w:bookmarkEnd w:id="1443"/>
      <w:commentRangeEnd w:id="1445"/>
      <w:r w:rsidR="00ED4638">
        <w:rPr>
          <w:rStyle w:val="Verwijzingopmerking"/>
          <w:b w:val="0"/>
          <w:bCs w:val="0"/>
        </w:rPr>
        <w:commentReference w:id="1445"/>
      </w:r>
      <w:commentRangeEnd w:id="1446"/>
      <w:r w:rsidR="00ED4638">
        <w:rPr>
          <w:rStyle w:val="Verwijzingopmerking"/>
          <w:b w:val="0"/>
          <w:bCs w:val="0"/>
        </w:rPr>
        <w:commentReference w:id="1446"/>
      </w:r>
    </w:p>
    <w:p w14:paraId="1445975C" w14:textId="77745738" w:rsidR="00772901" w:rsidRDefault="00772901" w:rsidP="00772901">
      <w:pPr>
        <w:pStyle w:val="Figuur"/>
      </w:pPr>
      <w:r>
        <w:rPr>
          <w:noProof/>
        </w:rPr>
        <w:drawing>
          <wp:inline distT="0" distB="0" distL="0" distR="0" wp14:anchorId="4542E805" wp14:editId="04C5AAF5">
            <wp:extent cx="4819650" cy="825189"/>
            <wp:effectExtent l="0" t="0" r="0" b="0"/>
            <wp:docPr id="805695193" name="Afbeelding 80569519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695193" name="Afbeelding 4" descr="Afbeelding met tekst&#10;&#10;Automatisch gegenereerde beschrijving"/>
                    <pic:cNvPicPr/>
                  </pic:nvPicPr>
                  <pic:blipFill>
                    <a:blip r:embed="rId168"/>
                    <a:stretch>
                      <a:fillRect/>
                    </a:stretch>
                  </pic:blipFill>
                  <pic:spPr>
                    <a:xfrm>
                      <a:off x="0" y="0"/>
                      <a:ext cx="4850775" cy="830518"/>
                    </a:xfrm>
                    <a:prstGeom prst="rect">
                      <a:avLst/>
                    </a:prstGeom>
                  </pic:spPr>
                </pic:pic>
              </a:graphicData>
            </a:graphic>
          </wp:inline>
        </w:drawing>
      </w:r>
    </w:p>
    <w:p w14:paraId="579CC5A2" w14:textId="79997E67" w:rsidR="007E6994" w:rsidRPr="007E6994" w:rsidRDefault="006C2074" w:rsidP="007E6994">
      <w:pPr>
        <w:pStyle w:val="Figuurbijschrift"/>
      </w:pPr>
      <w:r>
        <w:t>Verwerken reactieve interventie in omgevingsplan als onderdeel va</w:t>
      </w:r>
      <w:r w:rsidRPr="006C2074">
        <w:t>n procedure reactieve interventie</w:t>
      </w:r>
    </w:p>
    <w:p w14:paraId="66B93E2E" w14:textId="7F3B08ED" w:rsidR="00C235A5" w:rsidRDefault="003B54EF" w:rsidP="00900C6F">
      <w:r>
        <w:t xml:space="preserve">In hoofdstuk </w:t>
      </w:r>
      <w:r w:rsidR="002B6D56">
        <w:fldChar w:fldCharType="begin"/>
      </w:r>
      <w:r w:rsidR="002B6D56">
        <w:instrText xml:space="preserve"> REF _Ref_69af79ae48b2bc1bdc748526b28ffd97_1 \n \h </w:instrText>
      </w:r>
      <w:r w:rsidR="002B6D56">
        <w:fldChar w:fldCharType="separate"/>
      </w:r>
      <w:r w:rsidR="00C235A5">
        <w:t>2</w:t>
      </w:r>
      <w:r w:rsidR="002B6D56">
        <w:fldChar w:fldCharType="end"/>
      </w:r>
      <w:r w:rsidR="002B6D56">
        <w:t xml:space="preserve"> hebben we gezien dat het meervoudig bronhouderschap zoals de wetgever dat </w:t>
      </w:r>
      <w:r w:rsidR="007C5349">
        <w:t xml:space="preserve">in artikel </w:t>
      </w:r>
      <w:r w:rsidR="00EB5FBB" w:rsidRPr="00EB5FBB">
        <w:t>16.2 Ow</w:t>
      </w:r>
      <w:r w:rsidR="00A7325A">
        <w:t xml:space="preserve"> heeft bedoeld, namelijk dat GS</w:t>
      </w:r>
      <w:r w:rsidR="00A002F8">
        <w:t>, als zij met een reactieve inte</w:t>
      </w:r>
      <w:r w:rsidR="00207B7E">
        <w:t>r</w:t>
      </w:r>
      <w:r w:rsidR="00A002F8">
        <w:t xml:space="preserve">ventie het omgevingsplan wijzigen, die wijziging </w:t>
      </w:r>
      <w:r w:rsidR="00F71AB4">
        <w:t>moe</w:t>
      </w:r>
      <w:r w:rsidR="00A002F8">
        <w:t>te</w:t>
      </w:r>
      <w:r w:rsidR="00F71AB4">
        <w:t>n</w:t>
      </w:r>
      <w:r w:rsidR="00A002F8">
        <w:t xml:space="preserve"> verwerken in </w:t>
      </w:r>
      <w:r w:rsidR="00133268">
        <w:t xml:space="preserve">een nieuwe versie van </w:t>
      </w:r>
      <w:r w:rsidR="00A002F8">
        <w:t>de geconsolideerde regeling van het om</w:t>
      </w:r>
      <w:r w:rsidR="00207B7E">
        <w:t>gevingsplan, technisch niet uitvoerbaar is.</w:t>
      </w:r>
    </w:p>
    <w:p w14:paraId="11D70143" w14:textId="16D26D6D" w:rsidR="00C235A5" w:rsidRDefault="006B0D24" w:rsidP="00900C6F">
      <w:r>
        <w:t xml:space="preserve">Daarom is gekozen voor de wel uitvoerbare variant van </w:t>
      </w:r>
      <w:r w:rsidR="00EF4B84" w:rsidRPr="00EF4B84">
        <w:t xml:space="preserve">meervoudig bronhouderschap bij de reactieve interventie </w:t>
      </w:r>
      <w:r w:rsidR="00FB043F">
        <w:t>waarbij</w:t>
      </w:r>
      <w:r w:rsidR="00EF4B84" w:rsidRPr="00EF4B84">
        <w:t xml:space="preserve"> de provincie in de reactieve interventie omschrijft welke onderdelen van het gemeentelijke besluit tot wijziging van het omgevingsplan geen onderdeel van dat omgevingsplan vormen</w:t>
      </w:r>
      <w:r w:rsidR="00EF4B84">
        <w:t xml:space="preserve"> </w:t>
      </w:r>
      <w:r w:rsidR="00C415AC">
        <w:t xml:space="preserve">en </w:t>
      </w:r>
      <w:r w:rsidR="00EF4B84" w:rsidRPr="00EF4B84">
        <w:t xml:space="preserve">de gemeente de opdracht </w:t>
      </w:r>
      <w:r w:rsidR="00C415AC">
        <w:t xml:space="preserve">geeft </w:t>
      </w:r>
      <w:r w:rsidR="00EF4B84" w:rsidRPr="00EF4B84">
        <w:t>om de reactieve interventie in het omgevingsplan te verwerken, met een termijn waarbinnen de gemeente dit gedaan moet hebben.</w:t>
      </w:r>
      <w:r w:rsidR="007F6176">
        <w:t xml:space="preserve"> </w:t>
      </w:r>
      <w:r w:rsidR="007F6176" w:rsidRPr="007F6176">
        <w:t>Het tijdelijk regelingdeel wordt bij de reactieve interventie ingezet om er voor te zorgen dat de raadpleger van het omgevingsplan in de regelingenbank op overheid.nl en in DSO-LV in de (korte) periode tussen het geven van de reactieve interventie en het verwerken daarvan in de hoofdregeling van het omgevingsplan het effect van de reactieve interventie kan zien.</w:t>
      </w:r>
      <w:r w:rsidR="007F6176">
        <w:t xml:space="preserve"> I</w:t>
      </w:r>
      <w:r w:rsidR="007F6176" w:rsidRPr="007F6176">
        <w:t xml:space="preserve">n het tijdelijk regelingdeel legt </w:t>
      </w:r>
      <w:r w:rsidR="00F80216">
        <w:t xml:space="preserve">de provincie </w:t>
      </w:r>
      <w:r w:rsidR="00F80216" w:rsidRPr="00F80216">
        <w:t>vast</w:t>
      </w:r>
      <w:r w:rsidR="00F80216">
        <w:t xml:space="preserve"> </w:t>
      </w:r>
      <w:r w:rsidR="007F6176" w:rsidRPr="007F6176">
        <w:t xml:space="preserve">hoe, als gevolg van de reactieve interventie, de betreffende regels </w:t>
      </w:r>
      <w:r w:rsidR="00F80216">
        <w:t xml:space="preserve">van (de hoofdregeling van) het omgevingsplan </w:t>
      </w:r>
      <w:r w:rsidR="007F6176" w:rsidRPr="007F6176">
        <w:t>luiden.</w:t>
      </w:r>
      <w:r w:rsidR="004A68E8">
        <w:t xml:space="preserve"> </w:t>
      </w:r>
      <w:r w:rsidR="004A68E8" w:rsidRPr="004A68E8">
        <w:t>Door de publicatie van de reactieve interventie wordt het tijdelijk regelingdeel onderdeel van de geconsolideerde regeling van het omgevingsplan.</w:t>
      </w:r>
    </w:p>
    <w:p w14:paraId="1D475086" w14:textId="005821CA" w:rsidR="00FA0D37" w:rsidRDefault="00FA0D37" w:rsidP="00900C6F"/>
    <w:p w14:paraId="693D397A" w14:textId="77777777" w:rsidR="006D11B7" w:rsidRDefault="006D11B7" w:rsidP="006D11B7">
      <w:r>
        <w:t xml:space="preserve">De </w:t>
      </w:r>
      <w:r w:rsidRPr="002D32B4">
        <w:t>gemeente</w:t>
      </w:r>
      <w:r>
        <w:t xml:space="preserve"> </w:t>
      </w:r>
      <w:r w:rsidRPr="002D32B4">
        <w:t>verwerkt</w:t>
      </w:r>
      <w:r>
        <w:t xml:space="preserve"> </w:t>
      </w:r>
      <w:r w:rsidRPr="002D32B4">
        <w:t>de reactieve interventie in de hoofdregeling van het omgevingsplan</w:t>
      </w:r>
      <w:r>
        <w:t xml:space="preserve">. </w:t>
      </w:r>
      <w:r w:rsidRPr="004A68E8">
        <w:t xml:space="preserve">Als de gemeente </w:t>
      </w:r>
      <w:r>
        <w:t>dat</w:t>
      </w:r>
      <w:r w:rsidRPr="004A68E8">
        <w:t xml:space="preserve"> heeft </w:t>
      </w:r>
      <w:r>
        <w:t>gedaan</w:t>
      </w:r>
      <w:r w:rsidRPr="004A68E8">
        <w:t xml:space="preserve"> moet het tijdelijk regelingdeel niet meer zichtbaar zijn. Het effect van de reactieve interventie is dan immers bereikt: de betreffende onderdelen maken geen deel meer uit van de hoofdregeling en een raadpleger ziet ze niet meer.</w:t>
      </w:r>
      <w:r>
        <w:t xml:space="preserve"> Bij het verwerken van </w:t>
      </w:r>
      <w:r w:rsidRPr="00850120">
        <w:t xml:space="preserve">de reactieve interventie in de hoofdregeling van het omgevingsplan </w:t>
      </w:r>
      <w:r>
        <w:t>is d</w:t>
      </w:r>
      <w:r w:rsidRPr="00A744C3">
        <w:t xml:space="preserve">e gemeente </w:t>
      </w:r>
      <w:r>
        <w:t>technisch uitvoerder van het provinciale besluit</w:t>
      </w:r>
      <w:r w:rsidRPr="00A744C3">
        <w:t xml:space="preserve">. Juridisch gezien is er in dat spoor geen controle door de provincie of de gemeente dat al dan niet correct heeft gedaan. Vanuit dat oogpunt zou het voor de hand liggen dat de gemeente er </w:t>
      </w:r>
      <w:r>
        <w:t xml:space="preserve">ook </w:t>
      </w:r>
      <w:r w:rsidRPr="00A744C3">
        <w:t xml:space="preserve">voor zorgt dat het tijdelijk regelingdeel uit de reactieve </w:t>
      </w:r>
      <w:r>
        <w:t xml:space="preserve">interventie </w:t>
      </w:r>
      <w:r w:rsidRPr="00A744C3">
        <w:t xml:space="preserve">geen onderdeel meer uitmaakt van de geconsolideerde regeling van het omgevingsplan. Dat zou echter </w:t>
      </w:r>
      <w:r>
        <w:t xml:space="preserve">weer </w:t>
      </w:r>
      <w:r w:rsidRPr="00A744C3">
        <w:t xml:space="preserve">neerkomen op een vorm van meervoudig bronhouderschap, omdat de gemeente daarvoor het tijdelijk regelingdeel zou moeten importeren in de eigen plansoftware. Technisch is dat niet mogelijk. Daarom zal vooralsnog de provincie </w:t>
      </w:r>
      <w:r>
        <w:t xml:space="preserve">er voor moeten zorgen dat het tijdelijk regelingdeel niet meer zichtbaar is, door </w:t>
      </w:r>
      <w:r w:rsidRPr="00A744C3">
        <w:t>het tijdelijk regelingdeel in</w:t>
      </w:r>
      <w:r>
        <w:t xml:space="preserve"> te </w:t>
      </w:r>
      <w:r w:rsidRPr="00A744C3">
        <w:t>trekken.</w:t>
      </w:r>
      <w:r>
        <w:t xml:space="preserve"> Er zijn dus twee handelingen </w:t>
      </w:r>
      <w:r>
        <w:lastRenderedPageBreak/>
        <w:t>nodig, die door twee verschillende partijen worden uitgevoerd. Die handelingen worden in de volgende subparagrafen beschreven.</w:t>
      </w:r>
    </w:p>
    <w:p w14:paraId="6CD2DFC6" w14:textId="77777777" w:rsidR="006D11B7" w:rsidRDefault="006D11B7" w:rsidP="006D11B7">
      <w:r>
        <w:t>Het is aan GS om in de reactieve interventie te bepalen binnen welk</w:t>
      </w:r>
      <w:r w:rsidRPr="00423552">
        <w:t>e termijn de gemeente de reactieve interventie moet hebben verwerkt</w:t>
      </w:r>
      <w:r>
        <w:t>. GS kunnen die termijn kort houden, zodat de reactieve interventie zo snel mogelijk in de hoofdregeling van het omgevingsplan is verwerkt. Ze kunnen er ook voor kiezen om te bepalen dat de gemeente dit moet doen na afloop van de beroepstermijn van de reactieve interventie, zodat in DSO-LV gedurende die beroepstermijn heel expliciet in het tijdelijk regelingdeel de bepalingen van de reactieve interventie zichtbaar zijn.</w:t>
      </w:r>
    </w:p>
    <w:p w14:paraId="70DFA2B1" w14:textId="77777777" w:rsidR="006D11B7" w:rsidRDefault="006D11B7" w:rsidP="006D11B7">
      <w:r>
        <w:t>Bij het stellen van de</w:t>
      </w:r>
      <w:r w:rsidRPr="00557007">
        <w:t xml:space="preserve"> termijn </w:t>
      </w:r>
      <w:r>
        <w:t xml:space="preserve">moet de provincie er rekening mee houden </w:t>
      </w:r>
      <w:r w:rsidRPr="00F05006">
        <w:t xml:space="preserve">dat bij de huidige implementatie in BHKV, LVBB en DSO-LV </w:t>
      </w:r>
      <w:r>
        <w:t xml:space="preserve">de gemeente </w:t>
      </w:r>
      <w:r w:rsidRPr="00F05006">
        <w:t xml:space="preserve">slechts 1 </w:t>
      </w:r>
      <w:r>
        <w:t>omgevingsplanwijziging</w:t>
      </w:r>
      <w:r w:rsidRPr="00F05006">
        <w:t xml:space="preserve"> per dag kan aanlever</w:t>
      </w:r>
      <w:r>
        <w:t>en</w:t>
      </w:r>
      <w:r w:rsidRPr="00F05006">
        <w:t>, dat een volgend</w:t>
      </w:r>
      <w:r>
        <w:t>e</w:t>
      </w:r>
      <w:r w:rsidRPr="00F05006">
        <w:t xml:space="preserve"> </w:t>
      </w:r>
      <w:r>
        <w:t xml:space="preserve">wijziging </w:t>
      </w:r>
      <w:r w:rsidRPr="00F05006">
        <w:t xml:space="preserve">pas kan worden aangeleverd nadat </w:t>
      </w:r>
      <w:r>
        <w:t xml:space="preserve">de </w:t>
      </w:r>
      <w:r w:rsidRPr="00F05006">
        <w:t xml:space="preserve">vorige </w:t>
      </w:r>
      <w:r>
        <w:t xml:space="preserve">wijziging </w:t>
      </w:r>
      <w:r w:rsidRPr="00F05006">
        <w:t>bekend gemaakt is en dat er slechts 1 regelingversie en dus ook 1 besluit per dag in werking kan treden</w:t>
      </w:r>
      <w:r>
        <w:rPr>
          <w:rStyle w:val="Voetnootmarkering"/>
        </w:rPr>
        <w:footnoteReference w:id="348"/>
      </w:r>
      <w:r w:rsidRPr="00F05006">
        <w:t>.</w:t>
      </w:r>
      <w:r>
        <w:t xml:space="preserve"> Dit kan tot gevolg hebben dat de termijn niet te kort gesteld kan worden. Overleg hierover tussen provincie en gemeente is gewenst.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68" Type="http://schemas.openxmlformats.org/officeDocument/2006/relationships/image" Target="media/image_0305b1482597747145fc558a16471c3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