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E8E4" w14:textId="5E2ECC42" w:rsidR="002B3E25" w:rsidRDefault="002B3E25" w:rsidP="002B3E25">
      <w:pPr>
        <w:pStyle w:val="Kop3"/>
      </w:pPr>
      <w:commentRangeStart w:id="1473"/>
      <w:r>
        <w:t xml:space="preserve">Procedure programma </w:t>
      </w:r>
      <w:commentRangeEnd w:id="1473"/>
      <w:r w:rsidR="0083002F">
        <w:rPr>
          <w:rStyle w:val="Verwijzingopmerking"/>
          <w:b w:val="0"/>
          <w:bCs w:val="0"/>
        </w:rPr>
        <w:commentReference w:id="1473"/>
      </w:r>
      <w:r>
        <w:t>en aan te leveren producten en gegevens</w:t>
      </w:r>
    </w:p>
    <w:p w14:paraId="1CF77056" w14:textId="77777777" w:rsidR="002B3E25" w:rsidRDefault="002B3E25" w:rsidP="002B3E25">
      <w:r w:rsidRPr="005A6688">
        <w:t xml:space="preserve">In deze paragraaf wordt de procedure beschreven die </w:t>
      </w:r>
      <w:r w:rsidRPr="00271D44">
        <w:t>een besluit tot vaststelling of wijziging</w:t>
      </w:r>
      <w:r w:rsidRPr="005A6688">
        <w:t xml:space="preserve"> van </w:t>
      </w:r>
      <w:r>
        <w:t>een programma</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5B9D503C" w14:textId="77777777" w:rsidR="002B3E25" w:rsidRDefault="002B3E25" w:rsidP="002B3E25">
      <w:r>
        <w:t xml:space="preserve">Opgemerkt wordt dat, op enkele uitzonderingen na, het programma </w:t>
      </w:r>
      <w:r w:rsidRPr="00A81B2B">
        <w:t>geen verandering in het recht met zich mee</w:t>
      </w:r>
      <w:r w:rsidRPr="00552F9B">
        <w:t>brengt</w:t>
      </w:r>
      <w:r>
        <w:t>, niet gericht is op rechtsgevolg.</w:t>
      </w:r>
      <w:r w:rsidRPr="00A81B2B">
        <w:t xml:space="preserve"> </w:t>
      </w:r>
      <w:r>
        <w:t xml:space="preserve">Er is </w:t>
      </w:r>
      <w:r w:rsidRPr="00A81B2B">
        <w:t>daarom</w:t>
      </w:r>
      <w:r>
        <w:t xml:space="preserve"> geen sprake van een </w:t>
      </w:r>
      <w:r w:rsidRPr="00EE31C7">
        <w:t>publiekrechtelijke rechtshandeling</w:t>
      </w:r>
      <w:r>
        <w:t xml:space="preserve">. Daardoor is </w:t>
      </w:r>
      <w:r w:rsidRPr="0019111C">
        <w:t>het programma</w:t>
      </w:r>
      <w:r w:rsidRPr="00552F9B">
        <w:t xml:space="preserve"> </w:t>
      </w:r>
      <w:r>
        <w:t xml:space="preserve">in de regel </w:t>
      </w:r>
      <w:r w:rsidRPr="00552F9B">
        <w:t>geen besluit als bedoeld in de Awb</w:t>
      </w:r>
      <w:r>
        <w:rPr>
          <w:rStyle w:val="Voetnootmarkering"/>
        </w:rPr>
        <w:footnoteReference w:id="377"/>
      </w:r>
      <w:r w:rsidRPr="00552F9B">
        <w:t>.</w:t>
      </w:r>
      <w:r>
        <w:t xml:space="preserve"> Het bestuursorgaan besluit wel tot vaststelling of wijziging van </w:t>
      </w:r>
      <w:r w:rsidRPr="0019111C">
        <w:t>het programma</w:t>
      </w:r>
      <w:r>
        <w:t xml:space="preserve">. Die beslissing </w:t>
      </w:r>
      <w:r w:rsidRPr="00271D44">
        <w:t xml:space="preserve">wordt </w:t>
      </w:r>
      <w:r>
        <w:t>in het vervolg van deze paragraaf aangeduid met de term ‘</w:t>
      </w:r>
      <w:r w:rsidRPr="001C043E">
        <w:t xml:space="preserve">besluit tot vaststelling of wijziging van </w:t>
      </w:r>
      <w:r w:rsidRPr="0019111C">
        <w:t>het programma</w:t>
      </w:r>
      <w:r>
        <w:t>’.</w:t>
      </w:r>
    </w:p>
    <w:p w14:paraId="3D1BE217" w14:textId="0F7402A5" w:rsidR="002B3E25" w:rsidRDefault="002B3E25" w:rsidP="002B3E25">
      <w:r>
        <w:fldChar w:fldCharType="begin"/>
      </w:r>
      <w:r>
        <w:instrText xml:space="preserve"> REF _Ref_5b42d9d6ef1b17ce731b571d4a7e9438_1 \n \h </w:instrText>
      </w:r>
      <w:r>
        <w:fldChar w:fldCharType="separate"/>
      </w:r>
      <w:r w:rsidR="00C235A5">
        <w:t>Figuur 162</w:t>
      </w:r>
      <w:r>
        <w:fldChar w:fldCharType="end"/>
      </w:r>
      <w:r>
        <w:t xml:space="preserve"> geeft een overzicht van de verschillende fasen in de procedure van het programma. De beroepsfase komt slechts in enkele gevallen voor. </w:t>
      </w:r>
      <w:r w:rsidRPr="006C16F4">
        <w:t xml:space="preserve">Dat is in het kleurgebruik van de </w:t>
      </w:r>
      <w:r>
        <w:t>fasen</w:t>
      </w:r>
      <w:r w:rsidRPr="006C16F4">
        <w:t xml:space="preserve"> in het schema tot uitdrukking gebracht</w:t>
      </w:r>
      <w:r>
        <w:t>.</w:t>
      </w:r>
    </w:p>
    <w:p w14:paraId="71BD7374" w14:textId="77777777" w:rsidR="002B3E25" w:rsidRDefault="002B3E25" w:rsidP="002B3E25">
      <w:pPr>
        <w:pStyle w:val="Figuur"/>
      </w:pPr>
      <w:r>
        <w:rPr>
          <w:noProof/>
          <w:color w:val="auto"/>
          <w:sz w:val="16"/>
          <w:szCs w:val="16"/>
        </w:rPr>
        <w:lastRenderedPageBreak/>
        <w:drawing>
          <wp:inline distT="0" distB="0" distL="0" distR="0" wp14:anchorId="37955FB4" wp14:editId="425ECE61">
            <wp:extent cx="4695825" cy="1293229"/>
            <wp:effectExtent l="0" t="0" r="0" b="2540"/>
            <wp:docPr id="1542669789" name="Afbeelding 1542669789" descr="Afbeelding met tekst, Lettertype, schermopnam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69789" name="Afbeelding 1" descr="Afbeelding met tekst, Lettertype, schermopname, Elektrisch blauw&#10;&#10;Automatisch gegenereerde beschrijving"/>
                    <pic:cNvPicPr/>
                  </pic:nvPicPr>
                  <pic:blipFill>
                    <a:blip r:embed="rId170"/>
                    <a:stretch>
                      <a:fillRect/>
                    </a:stretch>
                  </pic:blipFill>
                  <pic:spPr>
                    <a:xfrm>
                      <a:off x="0" y="0"/>
                      <a:ext cx="4739781" cy="1305334"/>
                    </a:xfrm>
                    <a:prstGeom prst="rect">
                      <a:avLst/>
                    </a:prstGeom>
                  </pic:spPr>
                </pic:pic>
              </a:graphicData>
            </a:graphic>
          </wp:inline>
        </w:drawing>
      </w:r>
    </w:p>
    <w:p w14:paraId="0C0326F3" w14:textId="77777777" w:rsidR="002B3E25" w:rsidRPr="004556D5" w:rsidRDefault="002B3E25" w:rsidP="002B3E25">
      <w:pPr>
        <w:pStyle w:val="Figuurbijschrift"/>
      </w:pPr>
      <w:r w:rsidRPr="00AA08CF">
        <w:tab/>
      </w:r>
      <w:bookmarkStart w:id="1474" w:name="_Ref_5b42d9d6ef1b17ce731b571d4a7e9438_1"/>
      <w:r w:rsidRPr="00AA08CF">
        <w:t>Globaal overzicht van de procedure en de per fase aan de LVBB aan te leveren producten</w:t>
      </w:r>
      <w:bookmarkEnd w:id="147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0" Type="http://schemas.openxmlformats.org/officeDocument/2006/relationships/image" Target="media/image_8ec3ac1fde6887c68b7e5938a87dd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