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2552" w14:textId="77777777" w:rsidR="002B3E25" w:rsidRDefault="002B3E25" w:rsidP="002B3E25">
      <w:pPr>
        <w:pStyle w:val="Kop5"/>
      </w:pPr>
      <w:bookmarkStart w:id="1161" w:name="_Ref_4d57f697d05e7a14d8bbefbef864d1b3_1"/>
      <w:r>
        <w:t>Juridisch kader</w:t>
      </w:r>
      <w:bookmarkEnd w:id="1161"/>
    </w:p>
    <w:p w14:paraId="2BC175C2" w14:textId="77777777" w:rsidR="002B3E25" w:rsidRDefault="002B3E25" w:rsidP="002B3E25">
      <w:r>
        <w:t xml:space="preserve">Op de voorbereiding van </w:t>
      </w:r>
      <w:r w:rsidRPr="002D4295">
        <w:t xml:space="preserve">de verplichte programma’s van paragraaf 3.2.2 Ow, de </w:t>
      </w:r>
      <w:r>
        <w:t xml:space="preserve">in </w:t>
      </w:r>
      <w:r w:rsidRPr="00BF2225">
        <w:t xml:space="preserve">paragraaf 3.2.3 Ow </w:t>
      </w:r>
      <w:r>
        <w:t xml:space="preserve">genoemde </w:t>
      </w:r>
      <w:r w:rsidRPr="002D4295">
        <w:t>onverplichte programma’s en de programma’s met programmatische aanpak van paragraaf 3.2.4 Ow</w:t>
      </w:r>
      <w:r>
        <w:t xml:space="preserve"> is afdeling 3.4 Awb van toepassing</w:t>
      </w:r>
      <w:r>
        <w:rPr>
          <w:rStyle w:val="Voetnootmarkering"/>
        </w:rPr>
        <w:footnoteReference w:id="382"/>
      </w:r>
      <w:r>
        <w:t xml:space="preserve">. </w:t>
      </w:r>
      <w:r w:rsidRPr="00BB5CDB">
        <w:t>Afdeling 3.4 Awb is ook van toepassing op de documenten die voor het opstellen van een programma afzonderlijk worden vastgesteld</w:t>
      </w:r>
      <w:r>
        <w:rPr>
          <w:rStyle w:val="Voetnootmarkering"/>
        </w:rPr>
        <w:footnoteReference w:id="383"/>
      </w:r>
      <w:r>
        <w:t>.</w:t>
      </w:r>
      <w:r w:rsidRPr="00BB5CDB">
        <w:t xml:space="preserve"> </w:t>
      </w:r>
      <w:r w:rsidRPr="00D95FA5">
        <w:t>Een bestuursorgaan kan</w:t>
      </w:r>
      <w:r>
        <w:t xml:space="preserve">, </w:t>
      </w:r>
      <w:r w:rsidRPr="00954BFB">
        <w:t>voor zover dat niet in strijd is met internationaalrechtelijke verplichtingen,</w:t>
      </w:r>
      <w:r w:rsidRPr="00D95FA5">
        <w:t xml:space="preserve"> bij de voorbereiding van de</w:t>
      </w:r>
      <w:r>
        <w:t>ze</w:t>
      </w:r>
      <w:r w:rsidRPr="00D95FA5">
        <w:t xml:space="preserve"> programma’s afdeling 3.4 Awb buiten toepassing laten als het gaat om een ondergeschikte wijziging die niet leidt tot grotere nadelige gevolgen voor het milieu en die wijziging niet ziet op een in dat programma opgenomen beschrijving van een activiteit als gevolg waarvan de activiteit is </w:t>
      </w:r>
      <w:r w:rsidRPr="00D95FA5">
        <w:lastRenderedPageBreak/>
        <w:t>toegestaan</w:t>
      </w:r>
      <w:r>
        <w:rPr>
          <w:rStyle w:val="Voetnootmarkering"/>
        </w:rPr>
        <w:footnoteReference w:id="384"/>
      </w:r>
      <w:r w:rsidRPr="00D95FA5">
        <w:t>.</w:t>
      </w:r>
      <w:r>
        <w:t xml:space="preserve"> Uit artikel 3.4 Ow volgt dat gemeente, waterschap, provincie en Rijk ook voor andere dan in de paragrafen 3.2.2 t/m 3.2.4 genoemde onderdelen van de fysieke leefomgeving een programma </w:t>
      </w:r>
      <w:r w:rsidRPr="005B48EC">
        <w:t xml:space="preserve">kunnen </w:t>
      </w:r>
      <w:r>
        <w:t xml:space="preserve">vaststellen. Het </w:t>
      </w:r>
      <w:r w:rsidRPr="009E55C5">
        <w:t xml:space="preserve">bestuursorgaan </w:t>
      </w:r>
      <w:r>
        <w:t xml:space="preserve">kan dan </w:t>
      </w:r>
      <w:r w:rsidRPr="009E55C5">
        <w:t>zelf bepalen of het afdeling 3.4 Awb toepast of niet.</w:t>
      </w:r>
    </w:p>
    <w:p w14:paraId="37CF6B71" w14:textId="77777777" w:rsidR="002B3E25" w:rsidRDefault="002B3E25" w:rsidP="002B3E25"/>
    <w:p w14:paraId="28AFCDAE" w14:textId="67361A9F" w:rsidR="00ED0A54" w:rsidRDefault="002B3E25" w:rsidP="002B3E25">
      <w:r w:rsidRPr="00331401">
        <w:t>Het van afdeling 3.4 Awb onderdeel uitmakende artikel</w:t>
      </w:r>
      <w:r>
        <w:t xml:space="preserve"> </w:t>
      </w:r>
      <w:r w:rsidRPr="006371BE">
        <w:t xml:space="preserve">3:11 lid 1 Awb luidt: “Het bestuursorgaan legt het ontwerp van het te nemen besluit, met de daarop betrekking hebbende stukken die redelijkerwijs nodig zijn voor een beoordeling van het ontwerp, ter inzage, </w:t>
      </w:r>
      <w:r w:rsidRPr="00214FE7">
        <w:rPr>
          <w:i/>
          <w:iCs/>
        </w:rPr>
        <w:t>met uitzondering van stukken waarvoor bij wettelijk voorschrift mededeling op de in artikel 12 van de Bekendmakingswet bepaalde wijze is voorgeschreven</w:t>
      </w:r>
      <w:r w:rsidRPr="006371BE">
        <w:t xml:space="preserve">.” </w:t>
      </w:r>
      <w:r>
        <w:t xml:space="preserve">Bij diverse besluiten en andere rechtsfiguren die als omgevingsdocument zijn aangewezen, waaronder de omgevingsvisie, is zo’n uitzondering gemaakt en is in het Omgevingsbesluit bepaald dat van het ontwerp mededeling gedaan moet worden in het publicatieblad. </w:t>
      </w:r>
      <w:r w:rsidRPr="006371BE">
        <w:t xml:space="preserve">In </w:t>
      </w:r>
      <w:r w:rsidRPr="00730567">
        <w:t>dat geval</w:t>
      </w:r>
      <w:r>
        <w:t xml:space="preserve"> wordt een publicatie van de volledige inhoud van het ontwerpbesluit in het publicatieblad</w:t>
      </w:r>
      <w:r w:rsidRPr="00B36850">
        <w:t xml:space="preserve"> </w:t>
      </w:r>
      <w:r>
        <w:t>geplaatst</w:t>
      </w:r>
      <w:r>
        <w:rPr>
          <w:rStyle w:val="Voetnootmarkering"/>
        </w:rPr>
        <w:footnoteReference w:id="385"/>
      </w:r>
      <w:r>
        <w:t xml:space="preserve"> en wordt het ontwerpbesluit zelf dus niet ter inzage gelegd. </w:t>
      </w:r>
      <w:r w:rsidR="00781D11">
        <w:t>H</w:t>
      </w:r>
      <w:r w:rsidR="00781D11" w:rsidRPr="00781D11">
        <w:t xml:space="preserve">et Omgevingsbesluit voorziet (nog) niet in een verplichting om </w:t>
      </w:r>
      <w:r w:rsidR="00AC4EE2">
        <w:t xml:space="preserve">in het publicatieblad </w:t>
      </w:r>
      <w:r w:rsidR="00781D11" w:rsidRPr="00781D11">
        <w:t>mededeling te doen van het ontwerp van het programma</w:t>
      </w:r>
      <w:r w:rsidR="00AC4EE2">
        <w:t>.</w:t>
      </w:r>
      <w:r w:rsidR="00781D11" w:rsidRPr="00781D11">
        <w:t xml:space="preserve"> </w:t>
      </w:r>
      <w:r w:rsidR="00311ABC">
        <w:t>Daar</w:t>
      </w:r>
      <w:r>
        <w:t xml:space="preserve">om </w:t>
      </w:r>
      <w:r w:rsidR="00311ABC">
        <w:t xml:space="preserve">moet het bestuursorgaan </w:t>
      </w:r>
      <w:r>
        <w:t xml:space="preserve">het ontwerp van het programma </w:t>
      </w:r>
      <w:r w:rsidRPr="00992175">
        <w:t xml:space="preserve">op elektronische wijze </w:t>
      </w:r>
      <w:r>
        <w:t>en op een fysieke locatie ter inzage leggen. Echter als het ontwerp van een programma niet aan de LVBB wordt aangeleverd en niet in het publicatieblad wordt gepubliceerd, wordt het ook niet aan DSO-LV doorgeleverd en kan het niet in de DSO-viewer geraadpleegd worden. De geometrische begrenzing van het programma en van onderdelen daarvan kan dan alleen in de vorm van kaarten in de tekst of in een bijlage bij de tekst worden opgenomen en niet als interactief raadpleegbaar geheel van tekst en kaart. H</w:t>
      </w:r>
      <w:r w:rsidRPr="00DF3263">
        <w:t xml:space="preserve">et </w:t>
      </w:r>
      <w:r>
        <w:t xml:space="preserve">definitieve besluit tot </w:t>
      </w:r>
      <w:r w:rsidR="00913A3A">
        <w:t>vaststelling</w:t>
      </w:r>
      <w:r>
        <w:t xml:space="preserve"> of wijziging van het </w:t>
      </w:r>
      <w:r w:rsidRPr="00DF3263">
        <w:t>programma</w:t>
      </w:r>
      <w:r>
        <w:t xml:space="preserve"> moet wel bekendgemaakt </w:t>
      </w:r>
      <w:r w:rsidRPr="00385681">
        <w:t xml:space="preserve">worden </w:t>
      </w:r>
      <w:r>
        <w:t xml:space="preserve">door plaatsing van de volledige inhoud van het programma in het publicatieblad en moet vervolgens in de interactieve raadpleegomgeving van DSO-LV ontsloten worden. Besluit en programma moeten dan voldoen aan de eisen van de STOP/TPOD-standaard. Als het ontwerp van het programma </w:t>
      </w:r>
      <w:r w:rsidRPr="00DE737A">
        <w:t xml:space="preserve">niet met toepassing van de STOP/TPOD-standaard wordt opgesteld en </w:t>
      </w:r>
      <w:r>
        <w:t xml:space="preserve">alleen ter inzage gelegd wordt, zullen er grote verschillen zijn tussen het ontwerp en de </w:t>
      </w:r>
      <w:r w:rsidR="00913A3A">
        <w:t>definitieve</w:t>
      </w:r>
      <w:r>
        <w:t xml:space="preserve"> versie. Dat is </w:t>
      </w:r>
      <w:r w:rsidR="00E423D0">
        <w:t>niet wenselijk</w:t>
      </w:r>
      <w:r>
        <w:t xml:space="preserve">. Daarom </w:t>
      </w:r>
      <w:r w:rsidR="004D4748">
        <w:t xml:space="preserve">wordt aanbevolen om </w:t>
      </w:r>
      <w:r>
        <w:t xml:space="preserve">het ontwerp </w:t>
      </w:r>
      <w:r w:rsidR="00D628CF">
        <w:t xml:space="preserve">mede te delen door </w:t>
      </w:r>
      <w:r>
        <w:t>de volledige inhoud van het ontwerp van het programma</w:t>
      </w:r>
      <w:r w:rsidR="00417BA3">
        <w:t>, met toepassing van de STOP/TPOD-standaard,</w:t>
      </w:r>
      <w:r>
        <w:t xml:space="preserve"> in </w:t>
      </w:r>
      <w:r w:rsidRPr="00AA64F6">
        <w:t xml:space="preserve">gemeenteblad, </w:t>
      </w:r>
      <w:r>
        <w:t xml:space="preserve">waterschapsblad, </w:t>
      </w:r>
      <w:r w:rsidRPr="00AA64F6">
        <w:t xml:space="preserve">provinciaal blad respectievelijk Staatscourant </w:t>
      </w:r>
      <w:r w:rsidR="00D628CF">
        <w:t>te plaatsen</w:t>
      </w:r>
      <w:r>
        <w:t>.</w:t>
      </w:r>
      <w:r w:rsidR="009F41E5">
        <w:t xml:space="preserve"> </w:t>
      </w:r>
      <w:r w:rsidR="006F590E">
        <w:t>In de beschrijvingen</w:t>
      </w:r>
      <w:r w:rsidR="00417BA3">
        <w:t xml:space="preserve"> in de paragrafen </w:t>
      </w:r>
      <w:r w:rsidR="007743B8">
        <w:fldChar w:fldCharType="begin"/>
      </w:r>
      <w:r w:rsidR="007743B8">
        <w:instrText xml:space="preserve"> REF _Ref_e3824135130547637c6f251b2246b941_1 \n \h </w:instrText>
      </w:r>
      <w:r w:rsidR="007743B8">
        <w:fldChar w:fldCharType="separate"/>
      </w:r>
      <w:r w:rsidR="00D33EA9">
        <w:t>10.11.2.2</w:t>
      </w:r>
      <w:r w:rsidR="007743B8">
        <w:fldChar w:fldCharType="end"/>
      </w:r>
      <w:r w:rsidR="007743B8">
        <w:t xml:space="preserve"> en </w:t>
      </w:r>
      <w:r w:rsidR="007743B8">
        <w:fldChar w:fldCharType="begin"/>
      </w:r>
      <w:r w:rsidR="007743B8">
        <w:instrText xml:space="preserve"> REF _Ref_6b8070becd523f9c3c2c55309a65c6b7_1 \n \h </w:instrText>
      </w:r>
      <w:r w:rsidR="007743B8">
        <w:fldChar w:fldCharType="separate"/>
      </w:r>
      <w:r w:rsidR="00D33EA9">
        <w:t>10.11.2.3</w:t>
      </w:r>
      <w:r w:rsidR="007743B8">
        <w:fldChar w:fldCharType="end"/>
      </w:r>
      <w:r w:rsidR="007743B8">
        <w:t xml:space="preserve"> </w:t>
      </w:r>
      <w:r w:rsidR="004D4748" w:rsidRPr="004D4748">
        <w:t xml:space="preserve">gaat dit toepassingsprofiel van </w:t>
      </w:r>
      <w:r w:rsidR="00825A70">
        <w:t xml:space="preserve">die situatie </w:t>
      </w:r>
      <w:r w:rsidR="004D4748" w:rsidRPr="004D4748">
        <w:t>uit</w:t>
      </w:r>
      <w:r w:rsidR="00825A70">
        <w:t>.</w:t>
      </w:r>
      <w:r w:rsidR="00D43097">
        <w:t xml:space="preserve"> </w:t>
      </w:r>
      <w:r w:rsidR="004D396B">
        <w:t>Wanneer deze aanbeveling wordt opgevolgd</w:t>
      </w:r>
      <w:r w:rsidR="0040140C">
        <w:t xml:space="preserve"> </w:t>
      </w:r>
      <w:r w:rsidR="0040140C" w:rsidRPr="0040140C">
        <w:t>wordt aanbevolen om</w:t>
      </w:r>
      <w:r w:rsidR="0040140C">
        <w:t>,</w:t>
      </w:r>
      <w:r w:rsidR="0040140C" w:rsidRPr="0040140C">
        <w:t xml:space="preserve"> </w:t>
      </w:r>
      <w:r w:rsidR="0040140C">
        <w:t>z</w:t>
      </w:r>
      <w:r w:rsidR="00F444A6">
        <w:t>olang het Omgevingsbesluit niet voorziet in een verplic</w:t>
      </w:r>
      <w:r w:rsidR="00495C47">
        <w:t>h</w:t>
      </w:r>
      <w:r w:rsidR="00F444A6">
        <w:t>t</w:t>
      </w:r>
      <w:r w:rsidR="00495C47">
        <w:t>i</w:t>
      </w:r>
      <w:r w:rsidR="00F444A6">
        <w:t>ng om mededeling te doen van het ontwerp van het programma</w:t>
      </w:r>
      <w:r w:rsidR="0040140C">
        <w:t>,</w:t>
      </w:r>
      <w:r w:rsidR="00F444A6">
        <w:t xml:space="preserve"> </w:t>
      </w:r>
      <w:r w:rsidR="007161E2">
        <w:t xml:space="preserve">het ontwerp </w:t>
      </w:r>
      <w:r w:rsidR="00385973">
        <w:t xml:space="preserve">van het programma </w:t>
      </w:r>
      <w:r w:rsidR="007161E2">
        <w:t xml:space="preserve">ook bij de </w:t>
      </w:r>
      <w:r w:rsidR="00913A3A">
        <w:t>ter inzage</w:t>
      </w:r>
      <w:r w:rsidR="007161E2">
        <w:t xml:space="preserve"> gelegde stukken </w:t>
      </w:r>
      <w:r w:rsidR="00385973">
        <w:t xml:space="preserve">te </w:t>
      </w:r>
      <w:r w:rsidR="007161E2">
        <w:t>presenteren.</w:t>
      </w:r>
    </w:p>
    <w:p w14:paraId="0DF0D11E" w14:textId="7B726154" w:rsidR="002B3E25" w:rsidRDefault="002B3E25" w:rsidP="002B3E25"/>
    <w:p w14:paraId="6A931C99" w14:textId="604E1497" w:rsidR="002B3E25" w:rsidRDefault="000E327A" w:rsidP="002B3E25">
      <w:r>
        <w:t>G</w:t>
      </w:r>
      <w:r w:rsidR="002B3E25" w:rsidRPr="00D33716">
        <w:t>emeente, waterschap, provincie of Rijk</w:t>
      </w:r>
      <w:r w:rsidR="00423258">
        <w:t xml:space="preserve"> </w:t>
      </w:r>
      <w:r>
        <w:t xml:space="preserve">moet het ontwerp van het besluit en </w:t>
      </w:r>
      <w:r w:rsidR="002B3E25" w:rsidRPr="00B407FB">
        <w:t xml:space="preserve">de op </w:t>
      </w:r>
      <w:r w:rsidR="002B3E25">
        <w:t xml:space="preserve">het ontwerp </w:t>
      </w:r>
      <w:r w:rsidR="002B3E25" w:rsidRPr="00B407FB">
        <w:t>betrekking hebbende stukken die redelijkerwijs nodig zijn voor een beoordeling van het ontwerp, ter inzage</w:t>
      </w:r>
      <w:r w:rsidR="002B3E25">
        <w:t xml:space="preserve"> leggen.</w:t>
      </w:r>
      <w:r w:rsidR="002B3E25">
        <w:rPr>
          <w:rStyle w:val="Voetnootmarkering"/>
        </w:rPr>
        <w:footnoteReference w:id="386"/>
      </w:r>
      <w:r w:rsidR="002B3E25">
        <w:t xml:space="preserve"> Die terinzagelegging geschiedt zowel op elektronische wijze als op een door gemeente, waterschap, provincie of Rijk aan te wijzen locatie</w:t>
      </w:r>
      <w:r w:rsidR="002B3E25">
        <w:rPr>
          <w:rStyle w:val="Voetnootmarkering"/>
        </w:rPr>
        <w:footnoteReference w:id="387"/>
      </w:r>
      <w:r w:rsidR="002B3E25">
        <w:t>. De terinzagelegging vindt niet plaats in het publicatieblad van het bevoegd gezag</w:t>
      </w:r>
      <w:r w:rsidR="002B3E25">
        <w:rPr>
          <w:rStyle w:val="Voetnootmarkering"/>
        </w:rPr>
        <w:footnoteReference w:id="388"/>
      </w:r>
      <w:r w:rsidR="002B3E25">
        <w:t xml:space="preserve">. Dit betekent dat gemeente, waterschap, </w:t>
      </w:r>
      <w:r w:rsidR="002B3E25" w:rsidRPr="00F364D9">
        <w:t xml:space="preserve">provincie </w:t>
      </w:r>
      <w:r w:rsidR="002B3E25">
        <w:t xml:space="preserve">en Rijk moeten zorgen voor de elektronische terinzagelegging van </w:t>
      </w:r>
      <w:r w:rsidR="002B3E25" w:rsidRPr="00003F91">
        <w:t>d</w:t>
      </w:r>
      <w:r w:rsidR="002B3E25">
        <w:t xml:space="preserve">e </w:t>
      </w:r>
      <w:r w:rsidR="002B3E25" w:rsidRPr="00003F91">
        <w:t xml:space="preserve">op </w:t>
      </w:r>
      <w:r w:rsidR="002B3E25">
        <w:t xml:space="preserve">het ontwerpbesluit </w:t>
      </w:r>
      <w:r w:rsidR="002B3E25" w:rsidRPr="00003F91">
        <w:t>betrekking hebbende stukken</w:t>
      </w:r>
      <w:r w:rsidR="002B3E25">
        <w:t xml:space="preserve"> en voor de </w:t>
      </w:r>
      <w:r w:rsidR="002B3E25">
        <w:lastRenderedPageBreak/>
        <w:t>terinzagelegging van die stukken op een fysieke locatie. O</w:t>
      </w:r>
      <w:r w:rsidR="002B3E25" w:rsidRPr="009129C0">
        <w:t>p het ontwerp-besluit betrekking hebbende stukken</w:t>
      </w:r>
      <w:r w:rsidR="002B3E25">
        <w:t xml:space="preserve"> zullen vooral bestaan uit rapportages van uitgevoerde onderzoeken. </w:t>
      </w:r>
      <w:r w:rsidR="002B3E25" w:rsidRPr="00CC06E8">
        <w:t xml:space="preserve">De terinzagelegging op een door </w:t>
      </w:r>
      <w:r w:rsidR="002B3E25">
        <w:t>gemeente, waterschap, provincie of Rijk</w:t>
      </w:r>
      <w:r w:rsidR="002B3E25" w:rsidRPr="00782E01">
        <w:t xml:space="preserve"> </w:t>
      </w:r>
      <w:r w:rsidR="002B3E25" w:rsidRPr="00CC06E8">
        <w:t xml:space="preserve">te bepalen locatie kan worden georganiseerd door op een in de kennisgeving aangegeven </w:t>
      </w:r>
      <w:r w:rsidR="002B3E25">
        <w:t xml:space="preserve">fysieke </w:t>
      </w:r>
      <w:r w:rsidR="002B3E25" w:rsidRPr="00CC06E8">
        <w:t xml:space="preserve">locatie de mogelijkheid te bieden om op een beeldscherm </w:t>
      </w:r>
      <w:r w:rsidR="002B3E25" w:rsidRPr="001C4B6F">
        <w:t xml:space="preserve">de op het ontwerp betrekking hebbende stukken </w:t>
      </w:r>
      <w:r w:rsidR="002B3E25" w:rsidRPr="00CC06E8">
        <w:t>te raadplegen.</w:t>
      </w:r>
      <w:r w:rsidR="002B3E25">
        <w:t xml:space="preserve"> </w:t>
      </w:r>
      <w:r w:rsidR="002B3E25" w:rsidRPr="000D2112">
        <w:t>Uiteraard is het ook mogelijk om alle stukken te printen en op een fysieke locatie klaar te leggen voor inzage.</w:t>
      </w:r>
    </w:p>
    <w:p w14:paraId="45917480" w14:textId="77777777" w:rsidR="00D2252E" w:rsidRDefault="00D2252E" w:rsidP="002B3E25"/>
    <w:p w14:paraId="28BD1C55" w14:textId="17A8E622" w:rsidR="002B3E25" w:rsidRDefault="002B3E25" w:rsidP="002B3E25">
      <w:r w:rsidRPr="002C6818">
        <w:t xml:space="preserve">Voorafgaand aan de terinzagelegging </w:t>
      </w:r>
      <w:r w:rsidRPr="007F5A8E">
        <w:t xml:space="preserve">geeft </w:t>
      </w:r>
      <w:r>
        <w:t xml:space="preserve">gemeente, waterschap, provincie of Rijk </w:t>
      </w:r>
      <w:r w:rsidRPr="007F5A8E">
        <w:t>kennis van het ontwerp</w:t>
      </w:r>
      <w:r>
        <w:rPr>
          <w:rStyle w:val="Voetnootmarkering"/>
        </w:rPr>
        <w:footnoteReference w:id="389"/>
      </w:r>
      <w:r>
        <w:t xml:space="preserve"> </w:t>
      </w:r>
      <w:r w:rsidRPr="00676BBD">
        <w:t xml:space="preserve">in </w:t>
      </w:r>
      <w:r>
        <w:t>gemeenteblad, waterschapsblad, provinciaal blad of Staatscourant</w:t>
      </w:r>
      <w:r>
        <w:rPr>
          <w:rStyle w:val="Voetnootmarkering"/>
        </w:rPr>
        <w:footnoteReference w:id="390"/>
      </w:r>
      <w:r w:rsidRPr="007F5A8E">
        <w:t xml:space="preserve">. </w:t>
      </w:r>
      <w:r w:rsidRPr="00396043">
        <w:t>De kennisgeving vermeldt in ieder geval</w:t>
      </w:r>
      <w:r>
        <w:t>:</w:t>
      </w:r>
    </w:p>
    <w:p w14:paraId="79F4C14B" w14:textId="77777777" w:rsidR="002B3E25" w:rsidRDefault="002B3E25" w:rsidP="002B3E25">
      <w:pPr>
        <w:pStyle w:val="Opsommingtekens1"/>
      </w:pPr>
      <w:r w:rsidRPr="00280D33">
        <w:t>een zakelijke weergave van de inhoud</w:t>
      </w:r>
      <w:r>
        <w:t xml:space="preserve"> van het ontwerpbesluit</w:t>
      </w:r>
      <w:r>
        <w:rPr>
          <w:rStyle w:val="Voetnootmarkering"/>
        </w:rPr>
        <w:footnoteReference w:id="391"/>
      </w:r>
      <w:r>
        <w:t>;</w:t>
      </w:r>
    </w:p>
    <w:p w14:paraId="3DA840F9" w14:textId="77777777" w:rsidR="002B3E25" w:rsidRDefault="002B3E25" w:rsidP="002B3E25">
      <w:pPr>
        <w:pStyle w:val="Opsommingtekens2"/>
      </w:pPr>
      <w:r w:rsidRPr="00E515C0">
        <w:t>een beschrijving van het betreffende object of de betreffende activiteit en, in voorkomend geval, de locatie daarvan;</w:t>
      </w:r>
    </w:p>
    <w:p w14:paraId="7AD16B7E" w14:textId="77777777" w:rsidR="002B3E25" w:rsidRDefault="002B3E25" w:rsidP="002B3E25">
      <w:pPr>
        <w:pStyle w:val="Opsommingtekens2"/>
      </w:pPr>
      <w:r w:rsidRPr="00D875F8">
        <w:t>een zodanige beschrijving van het ontwerpbesluit en het beoogde rechtsgevolg daarvan dat potentiële belanghebbenden eruit kunnen afleiden in hoeverre zij in hun belangen worden geraakt</w:t>
      </w:r>
      <w:r>
        <w:t>;</w:t>
      </w:r>
    </w:p>
    <w:p w14:paraId="4F15B536" w14:textId="77777777" w:rsidR="002B3E25" w:rsidRDefault="002B3E25" w:rsidP="002B3E25">
      <w:pPr>
        <w:pStyle w:val="Opsommingtekens1"/>
      </w:pPr>
      <w:r w:rsidRPr="003A0239">
        <w:t>de wijze waarop en de periode waarin de stukken waar de kennisgeving betrekking op heeft voor eenieder ter inzage liggen</w:t>
      </w:r>
      <w:r>
        <w:rPr>
          <w:rStyle w:val="Voetnootmarkering"/>
        </w:rPr>
        <w:footnoteReference w:id="392"/>
      </w:r>
      <w:r w:rsidRPr="003A0239">
        <w:t>;</w:t>
      </w:r>
    </w:p>
    <w:p w14:paraId="0ED5BCF3" w14:textId="77777777" w:rsidR="002B3E25" w:rsidRDefault="002B3E25" w:rsidP="002B3E25">
      <w:pPr>
        <w:pStyle w:val="Opsommingtekens1"/>
      </w:pPr>
      <w:r w:rsidRPr="003A0239">
        <w:t>wie in de gelegenheid worden gesteld om zienswijzen naar voren te brengen</w:t>
      </w:r>
      <w:r>
        <w:rPr>
          <w:rStyle w:val="Voetnootmarkering"/>
        </w:rPr>
        <w:footnoteReference w:id="393"/>
      </w:r>
      <w:r w:rsidRPr="003A0239">
        <w:t>;</w:t>
      </w:r>
    </w:p>
    <w:p w14:paraId="38BE7212" w14:textId="77777777" w:rsidR="002B3E25" w:rsidRDefault="002B3E25" w:rsidP="002B3E25">
      <w:pPr>
        <w:pStyle w:val="Opsommingtekens1"/>
      </w:pPr>
      <w:r w:rsidRPr="003A0239">
        <w:t>op welke wijze dit kan geschieden</w:t>
      </w:r>
      <w:r>
        <w:rPr>
          <w:rStyle w:val="Voetnootmarkering"/>
        </w:rPr>
        <w:footnoteReference w:id="394"/>
      </w:r>
      <w:r>
        <w:t>.</w:t>
      </w:r>
    </w:p>
    <w:p w14:paraId="7D2AF46D" w14:textId="77777777" w:rsidR="002B3E25" w:rsidRDefault="002B3E25" w:rsidP="002B3E25"/>
    <w:p w14:paraId="3C9D23E7" w14:textId="21A8393A" w:rsidR="00ED0A54" w:rsidRDefault="002B3E25" w:rsidP="002B3E25">
      <w:r>
        <w:t xml:space="preserve">Zienswijzen over het ontwerp kunnen </w:t>
      </w:r>
      <w:r w:rsidRPr="00730C98">
        <w:t>naar voren worden gebracht door eenieder</w:t>
      </w:r>
      <w:r>
        <w:rPr>
          <w:rStyle w:val="Voetnootmarkering"/>
        </w:rPr>
        <w:footnoteReference w:id="395"/>
      </w:r>
      <w:r>
        <w:t xml:space="preserve">. De termijn daarvoor bedraagt </w:t>
      </w:r>
      <w:r w:rsidRPr="00090C8F">
        <w:t>zes weken</w:t>
      </w:r>
      <w:r>
        <w:rPr>
          <w:rStyle w:val="Voetnootmarkering"/>
        </w:rPr>
        <w:footnoteReference w:id="396"/>
      </w:r>
      <w:r>
        <w:t>.</w:t>
      </w:r>
    </w:p>
    <w:p w14:paraId="58ADDAE0" w14:textId="73771DE5" w:rsidR="002B3E25" w:rsidRDefault="002B3E25" w:rsidP="002B3E25"/>
    <w:p w14:paraId="20B2AE4D" w14:textId="2445A6C7" w:rsidR="002B3E25" w:rsidRPr="00097730" w:rsidRDefault="0074255E" w:rsidP="002B3E25">
      <w:r>
        <w:t>Wanneer de aanbeveling om het ontwerp van het programma mede te delen wordt opgevolgd,</w:t>
      </w:r>
      <w:r w:rsidR="002B3E25">
        <w:t xml:space="preserve"> moet gemeente, waterschap, provincie of Rijk het ontwerpbesluit en de kennisgeving, met bijbehorende informatie, </w:t>
      </w:r>
      <w:r w:rsidR="002B3E25" w:rsidRPr="008856E3">
        <w:t>conform de STOP/TPOD-standaard opstellen en aan de LVBB aanleveren</w:t>
      </w:r>
      <w:r w:rsidR="002B3E25">
        <w:t xml:space="preserve">. De aanlevering van het ontwerpbesluit is beschreven in paragraaf </w:t>
      </w:r>
      <w:r w:rsidR="004C45BA">
        <w:fldChar w:fldCharType="begin"/>
      </w:r>
      <w:r w:rsidR="004C45BA">
        <w:instrText xml:space="preserve"> REF _Ref_e3824135130547637c6f251b2246b941_1 \n \h </w:instrText>
      </w:r>
      <w:r w:rsidR="004C45BA">
        <w:fldChar w:fldCharType="separate"/>
      </w:r>
      <w:r w:rsidR="00D33EA9">
        <w:t>10.11.2.2</w:t>
      </w:r>
      <w:r w:rsidR="004C45BA">
        <w:fldChar w:fldCharType="end"/>
      </w:r>
      <w:r w:rsidR="002B3E25">
        <w:t xml:space="preserve">; de aanlevering van de kennisgeving in paragraaf </w:t>
      </w:r>
      <w:r w:rsidR="004C45BA">
        <w:fldChar w:fldCharType="begin"/>
      </w:r>
      <w:r w:rsidR="004C45BA">
        <w:instrText xml:space="preserve"> REF _Ref_6b8070becd523f9c3c2c55309a65c6b7_1 \n \h </w:instrText>
      </w:r>
      <w:r w:rsidR="004C45BA">
        <w:fldChar w:fldCharType="separate"/>
      </w:r>
      <w:r w:rsidR="00D33EA9">
        <w:t>10.11.2.3</w:t>
      </w:r>
      <w:r w:rsidR="004C45BA">
        <w:fldChar w:fldCharType="end"/>
      </w:r>
      <w:r w:rsidR="002B3E25">
        <w:t xml:space="preserve">. </w:t>
      </w:r>
      <w:r w:rsidR="002B3E25" w:rsidRPr="008151D6">
        <w:t xml:space="preserve">De elektronische terinzagelegging van de op het ontwerp betrekking hebbende stukken is het onderwerp van paragraaf </w:t>
      </w:r>
      <w:r w:rsidR="00F709BE">
        <w:rPr>
          <w:highlight w:val="yellow"/>
        </w:rPr>
        <w:fldChar w:fldCharType="begin"/>
      </w:r>
      <w:r w:rsidR="00F709BE">
        <w:instrText xml:space="preserve"> REF _Ref_01e81f6184244d5b6d77aeebddbbd024_1 \n \h </w:instrText>
      </w:r>
      <w:r w:rsidR="00F709BE">
        <w:rPr>
          <w:highlight w:val="yellow"/>
        </w:rPr>
      </w:r>
      <w:r w:rsidR="00F709BE">
        <w:rPr>
          <w:highlight w:val="yellow"/>
        </w:rPr>
        <w:fldChar w:fldCharType="separate"/>
      </w:r>
      <w:r w:rsidR="00D33EA9">
        <w:t>10.11.2.4</w:t>
      </w:r>
      <w:r w:rsidR="00F709BE">
        <w:rPr>
          <w:highlight w:val="yellow"/>
        </w:rPr>
        <w:fldChar w:fldCharType="end"/>
      </w:r>
      <w:r w:rsidR="002B3E25" w:rsidRPr="008151D6">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