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4AA8" w14:textId="77777777" w:rsidR="002B3E25" w:rsidRDefault="002B3E25" w:rsidP="002B3E25">
      <w:pPr>
        <w:pStyle w:val="Kop5"/>
      </w:pPr>
      <w:bookmarkStart w:id="1177" w:name="_Ref_a29bbb07994a47f5128814f4275d3fc1_1"/>
      <w:r>
        <w:t>Juridisch kader</w:t>
      </w:r>
      <w:bookmarkEnd w:id="1177"/>
    </w:p>
    <w:p w14:paraId="491CF7B5" w14:textId="77777777" w:rsidR="002B3E25" w:rsidRDefault="002B3E25" w:rsidP="002B3E25">
      <w:pPr>
        <w:pStyle w:val="Kop6"/>
      </w:pPr>
      <w:r>
        <w:t>Instellen beroep en beroepstermijn</w:t>
      </w:r>
    </w:p>
    <w:p w14:paraId="7757AB13" w14:textId="77777777" w:rsidR="002B3E25" w:rsidRDefault="002B3E25" w:rsidP="002B3E25">
      <w:r>
        <w:t>T</w:t>
      </w:r>
      <w:r w:rsidRPr="00DC4773">
        <w:t>egen een onderdeel van een programma waarin een beschrijving is opgenomen van een activiteit als gevolg waarvan (het verrichten van) de activiteit is toegestaan</w:t>
      </w:r>
      <w:r>
        <w:t xml:space="preserve"> </w:t>
      </w:r>
      <w:r w:rsidRPr="00D571E7">
        <w:t>kan beroep worden ingesteld</w:t>
      </w:r>
      <w:r>
        <w:rPr>
          <w:rStyle w:val="Voetnootmarkering"/>
        </w:rPr>
        <w:footnoteReference w:id="422"/>
      </w:r>
      <w:r w:rsidRPr="00DC4773">
        <w:t>.</w:t>
      </w:r>
      <w:r>
        <w:t xml:space="preserve"> Beroep kan worden ingesteld </w:t>
      </w:r>
      <w:r w:rsidRPr="003E41F9">
        <w:t>bij de rechtbank</w:t>
      </w:r>
      <w:r>
        <w:rPr>
          <w:rStyle w:val="Voetnootmarkering"/>
        </w:rPr>
        <w:footnoteReference w:id="423"/>
      </w:r>
      <w:r>
        <w:t xml:space="preserve">. </w:t>
      </w:r>
      <w:r w:rsidRPr="00DA45EA">
        <w:t>De termijn voor het indienen van een beroepschrift bedraagt zes weken</w:t>
      </w:r>
      <w:r>
        <w:rPr>
          <w:rStyle w:val="Voetnootmarkering"/>
        </w:rPr>
        <w:footnoteReference w:id="424"/>
      </w:r>
      <w:r w:rsidRPr="00DA45EA">
        <w:t>.</w:t>
      </w:r>
      <w:r>
        <w:t xml:space="preserve"> </w:t>
      </w:r>
      <w:r w:rsidRPr="00015D0D">
        <w:t>De termijn vangt aan met ingang van de dag na die waarop het besluit op de voorgeschreven wijze is bekendgemaakt</w:t>
      </w:r>
      <w:r>
        <w:rPr>
          <w:rStyle w:val="Voetnootmarkering"/>
        </w:rPr>
        <w:footnoteReference w:id="425"/>
      </w:r>
      <w:r>
        <w:t>.</w:t>
      </w:r>
    </w:p>
    <w:p w14:paraId="794AED50" w14:textId="77777777" w:rsidR="002B3E25" w:rsidRDefault="002B3E25" w:rsidP="002B3E25">
      <w:pPr>
        <w:pStyle w:val="Kop6"/>
      </w:pPr>
      <w:r>
        <w:lastRenderedPageBreak/>
        <w:t>Voorlopige voorziening</w:t>
      </w:r>
    </w:p>
    <w:p w14:paraId="4A7F082E" w14:textId="77777777" w:rsidR="002B3E25" w:rsidRDefault="002B3E25" w:rsidP="002B3E25">
      <w:r>
        <w:t xml:space="preserve">Als tegen </w:t>
      </w:r>
      <w:r w:rsidRPr="00317DBE">
        <w:t xml:space="preserve">het besluit tot </w:t>
      </w:r>
      <w:r>
        <w:t>vaststelling of wijziging</w:t>
      </w:r>
      <w:r w:rsidRPr="00317DBE">
        <w:t xml:space="preserve"> van het </w:t>
      </w:r>
      <w:r>
        <w:t xml:space="preserve">programma beroep is ingesteld, kan de </w:t>
      </w:r>
      <w:r w:rsidRPr="00BC761F">
        <w:t>voorzieningenrechter op verzoek een voorlopige voorziening treffen</w:t>
      </w:r>
      <w:r>
        <w:rPr>
          <w:rStyle w:val="Voetnootmarkering"/>
        </w:rPr>
        <w:footnoteReference w:id="426"/>
      </w:r>
      <w:r w:rsidRPr="00653BAD">
        <w:t>. Het verzoek kan worden gedaan door een partij in de hoofdzaak</w:t>
      </w:r>
      <w:r>
        <w:rPr>
          <w:rStyle w:val="Voetnootmarkering"/>
        </w:rPr>
        <w:footnoteReference w:id="427"/>
      </w:r>
      <w:r>
        <w:t>.</w:t>
      </w:r>
    </w:p>
    <w:p w14:paraId="066998C4" w14:textId="77777777" w:rsidR="002B3E25" w:rsidRDefault="002B3E25" w:rsidP="002B3E25">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28"/>
      </w:r>
      <w:r>
        <w:t>:</w:t>
      </w:r>
    </w:p>
    <w:p w14:paraId="1C1658B1" w14:textId="77777777" w:rsidR="002B3E25" w:rsidRDefault="002B3E25" w:rsidP="00717CE4">
      <w:pPr>
        <w:pStyle w:val="Opsommingnummers1"/>
        <w:numPr>
          <w:ilvl w:val="0"/>
          <w:numId w:val="103"/>
        </w:numPr>
      </w:pPr>
      <w:r>
        <w:t>onbevoegdverklaring van de voorzieningenrechter,</w:t>
      </w:r>
    </w:p>
    <w:p w14:paraId="20554EB3" w14:textId="77777777" w:rsidR="002B3E25" w:rsidRDefault="002B3E25" w:rsidP="002B3E25">
      <w:pPr>
        <w:pStyle w:val="Opsommingnummers1"/>
        <w:numPr>
          <w:ilvl w:val="0"/>
          <w:numId w:val="57"/>
        </w:numPr>
      </w:pPr>
      <w:r>
        <w:t>niet-ontvankelijkverklaring van het verzoek,</w:t>
      </w:r>
    </w:p>
    <w:p w14:paraId="03B8FF0D" w14:textId="77777777" w:rsidR="002B3E25" w:rsidRDefault="002B3E25" w:rsidP="002B3E25">
      <w:pPr>
        <w:pStyle w:val="Opsommingnummers1"/>
        <w:numPr>
          <w:ilvl w:val="0"/>
          <w:numId w:val="57"/>
        </w:numPr>
      </w:pPr>
      <w:r>
        <w:t>afwijzing van het verzoek, of</w:t>
      </w:r>
    </w:p>
    <w:p w14:paraId="6B1D36EA" w14:textId="77777777" w:rsidR="002B3E25" w:rsidRDefault="002B3E25" w:rsidP="002B3E25">
      <w:pPr>
        <w:pStyle w:val="Opsommingnummers1"/>
        <w:numPr>
          <w:ilvl w:val="0"/>
          <w:numId w:val="57"/>
        </w:numPr>
      </w:pPr>
      <w:r>
        <w:t>gehele of gedeeltelijke toewijzing van het verzoek.</w:t>
      </w:r>
    </w:p>
    <w:p w14:paraId="5AD09AC1" w14:textId="77777777" w:rsidR="002B3E25" w:rsidRDefault="002B3E25" w:rsidP="002B3E25">
      <w:r>
        <w:t xml:space="preserve">De uitspraken die onder 1 t/m 3 zijn genoemd hebben geen gevolgen voor de juridische status van het besluit en voor het programma.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 xml:space="preserve">het besluit en voor de onderdelen van </w:t>
      </w:r>
      <w:r>
        <w:t>het programma waartegen beroep is ingesteld</w:t>
      </w:r>
      <w:r w:rsidRPr="00022D38">
        <w:t>.</w:t>
      </w:r>
    </w:p>
    <w:p w14:paraId="0FCDBFC0" w14:textId="77777777" w:rsidR="002B3E25" w:rsidRDefault="002B3E25" w:rsidP="002B3E25">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429"/>
      </w:r>
      <w:r>
        <w:t>.</w:t>
      </w:r>
    </w:p>
    <w:p w14:paraId="6341CFDC" w14:textId="77777777" w:rsidR="002B3E25" w:rsidRDefault="002B3E25" w:rsidP="002B3E25">
      <w:r w:rsidRPr="007F7EED">
        <w:t>De voorzieningenrechter kan in zijn uitspraak bepalen wanneer de voorlopige voorziening vervalt</w:t>
      </w:r>
      <w:r>
        <w:rPr>
          <w:rStyle w:val="Voetnootmarkering"/>
        </w:rPr>
        <w:footnoteReference w:id="430"/>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431"/>
      </w:r>
      <w:r>
        <w:t xml:space="preserve">. </w:t>
      </w:r>
      <w:r w:rsidRPr="00960DD9">
        <w:t>De voorzieningenrechter kan, op verzoek of ambtshalve, een voorlopige voorziening opheffen</w:t>
      </w:r>
      <w:r>
        <w:t xml:space="preserve"> of wijzigen</w:t>
      </w:r>
      <w:r>
        <w:rPr>
          <w:rStyle w:val="Voetnootmarkering"/>
        </w:rPr>
        <w:footnoteReference w:id="432"/>
      </w:r>
      <w:r>
        <w:t>.</w:t>
      </w:r>
    </w:p>
    <w:p w14:paraId="6ED02414" w14:textId="77777777" w:rsidR="002B3E25" w:rsidRDefault="002B3E25" w:rsidP="002B3E25">
      <w:pPr>
        <w:pStyle w:val="Kop6"/>
      </w:pPr>
      <w:bookmarkStart w:id="1178" w:name="_Ref_a29bbb07994a47f5128814f4275d3fc1_2"/>
      <w:r>
        <w:t>Bestuurlijke lus en t</w:t>
      </w:r>
      <w:r w:rsidRPr="0056006B">
        <w:t>ussenuitspraak</w:t>
      </w:r>
      <w:bookmarkEnd w:id="1178"/>
    </w:p>
    <w:p w14:paraId="42050874" w14:textId="77777777" w:rsidR="002B3E25" w:rsidRDefault="002B3E25" w:rsidP="002B3E25">
      <w:r>
        <w:t xml:space="preserve">De bestuursrechter kan </w:t>
      </w:r>
      <w:r w:rsidRPr="008F57DC">
        <w:t xml:space="preserve">het bestuursorgaan opdragen een gebrek in het bestreden besluit </w:t>
      </w:r>
      <w:r>
        <w:t xml:space="preserve">te (laten) </w:t>
      </w:r>
      <w:r w:rsidRPr="008F57DC">
        <w:t>herstellen</w:t>
      </w:r>
      <w:r>
        <w:rPr>
          <w:rStyle w:val="Voetnootmarkering"/>
        </w:rPr>
        <w:footnoteReference w:id="433"/>
      </w:r>
      <w:r>
        <w:t xml:space="preserve"> en bepaalt daarbij de termijn </w:t>
      </w:r>
      <w:r w:rsidRPr="00391D54">
        <w:t>waarbinnen het bestuursorgaan het gebrek kan herstellen</w:t>
      </w:r>
      <w:r>
        <w:rPr>
          <w:rStyle w:val="Voetnootmarkering"/>
        </w:rPr>
        <w:footnoteReference w:id="434"/>
      </w:r>
      <w:r w:rsidRPr="008F57DC">
        <w:t>.</w:t>
      </w:r>
      <w:r>
        <w:t xml:space="preserve"> Dit wordt bestuurlijke lus genoemd; de bestuursrechter doet een tussenuitspraak</w:t>
      </w:r>
      <w:r>
        <w:rPr>
          <w:rStyle w:val="Voetnootmarkering"/>
        </w:rPr>
        <w:footnoteReference w:id="435"/>
      </w:r>
      <w:r>
        <w:t>. Na de tussenuitspraak zijn de volgende uitkomsten van de bestuurlijke lus mogelijk</w:t>
      </w:r>
      <w:r>
        <w:rPr>
          <w:rStyle w:val="Voetnootmarkering"/>
        </w:rPr>
        <w:footnoteReference w:id="436"/>
      </w:r>
      <w:r>
        <w:t>:</w:t>
      </w:r>
    </w:p>
    <w:p w14:paraId="56222747" w14:textId="77777777" w:rsidR="002B3E25" w:rsidRDefault="002B3E25" w:rsidP="00717CE4">
      <w:pPr>
        <w:pStyle w:val="Opsommingnummers1"/>
        <w:numPr>
          <w:ilvl w:val="0"/>
          <w:numId w:val="104"/>
        </w:numPr>
      </w:pPr>
      <w:r>
        <w:t>het bestuursorgaan laat de gestelde termijn voor herstel van het gebrek ongebruikt verstrijken, oftewel het bestuursorgaan herstelt het gebrek niet of niet op tijd;</w:t>
      </w:r>
    </w:p>
    <w:p w14:paraId="7749A029" w14:textId="77777777" w:rsidR="002B3E25" w:rsidRDefault="002B3E25" w:rsidP="002B3E25">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5E924F23" w14:textId="77777777" w:rsidR="002B3E25" w:rsidRDefault="002B3E25" w:rsidP="002B3E25">
      <w:pPr>
        <w:pStyle w:val="Opsommingnummers1"/>
        <w:numPr>
          <w:ilvl w:val="0"/>
          <w:numId w:val="58"/>
        </w:numPr>
      </w:pPr>
      <w:r w:rsidRPr="00D43C42">
        <w:t>het bestuursorgaan herstelt het gebrek door</w:t>
      </w:r>
      <w:r>
        <w:t xml:space="preserve"> een nieuw besluit te nemen.</w:t>
      </w:r>
    </w:p>
    <w:p w14:paraId="2DF2D080" w14:textId="77777777" w:rsidR="002B3E25" w:rsidRDefault="002B3E25" w:rsidP="002B3E25">
      <w:r w:rsidRPr="00A24D08">
        <w:t>De bestuursrechter kan zo nodig een voorlopige voorziening treffen</w:t>
      </w:r>
      <w:r>
        <w:t xml:space="preserve">. Hij moet dan bepalen </w:t>
      </w:r>
      <w:r w:rsidRPr="00A24D08">
        <w:t>wanneer de voorlopige voorziening vervalt</w:t>
      </w:r>
      <w:r>
        <w:rPr>
          <w:rStyle w:val="Voetnootmarkering"/>
        </w:rPr>
        <w:footnoteReference w:id="437"/>
      </w:r>
      <w:r w:rsidRPr="00A24D08">
        <w:t>.</w:t>
      </w:r>
      <w:r>
        <w:t xml:space="preserve"> Deze voorlopige voorziening vervalt in ieder </w:t>
      </w:r>
      <w:r>
        <w:lastRenderedPageBreak/>
        <w:t>geval zodra het beroep is ingetrokken of de bestuursrechter uitspraak in de hoofdzaak heeft gedaan</w:t>
      </w:r>
      <w:r>
        <w:rPr>
          <w:rStyle w:val="Voetnootmarkering"/>
        </w:rPr>
        <w:footnoteReference w:id="438"/>
      </w:r>
      <w:r>
        <w:t>.</w:t>
      </w:r>
    </w:p>
    <w:p w14:paraId="57358FB9" w14:textId="77777777" w:rsidR="002B3E25" w:rsidRDefault="002B3E25" w:rsidP="002B3E25">
      <w:pPr>
        <w:pStyle w:val="Kop6"/>
      </w:pPr>
      <w:bookmarkStart w:id="1179" w:name="_Ref_a29bbb07994a47f5128814f4275d3fc1_3"/>
      <w:r>
        <w:t>Uitspraak in de hoofdzaak</w:t>
      </w:r>
      <w:bookmarkEnd w:id="1179"/>
    </w:p>
    <w:p w14:paraId="3CD78226" w14:textId="77777777" w:rsidR="002B3E25" w:rsidRDefault="002B3E25" w:rsidP="002B3E25">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uitspraak in de hoofdzaak, oftewel op de ingestelde beroepen. De </w:t>
      </w:r>
      <w:r w:rsidRPr="009110C6">
        <w:t xml:space="preserve">bestuursrechter </w:t>
      </w:r>
      <w:r w:rsidRPr="00FF2AF8">
        <w:t>kan de volgende uitspraken doen</w:t>
      </w:r>
      <w:r>
        <w:rPr>
          <w:rStyle w:val="Voetnootmarkering"/>
        </w:rPr>
        <w:footnoteReference w:id="439"/>
      </w:r>
      <w:r>
        <w:t>:</w:t>
      </w:r>
    </w:p>
    <w:p w14:paraId="32A8D2C2" w14:textId="77777777" w:rsidR="002B3E25" w:rsidRDefault="002B3E25" w:rsidP="002B3E25">
      <w:pPr>
        <w:pStyle w:val="Opsommingnummers1"/>
        <w:numPr>
          <w:ilvl w:val="0"/>
          <w:numId w:val="6"/>
        </w:numPr>
      </w:pPr>
      <w:r>
        <w:t>onbevoegdverklaring van de bestuursrechter,</w:t>
      </w:r>
    </w:p>
    <w:p w14:paraId="11AA25FC" w14:textId="77777777" w:rsidR="002B3E25" w:rsidRDefault="002B3E25" w:rsidP="002B3E25">
      <w:pPr>
        <w:pStyle w:val="Opsommingnummers1"/>
        <w:numPr>
          <w:ilvl w:val="0"/>
          <w:numId w:val="59"/>
        </w:numPr>
      </w:pPr>
      <w:r>
        <w:t>niet-ontvankelijkverklaring van het beroep,</w:t>
      </w:r>
    </w:p>
    <w:p w14:paraId="477FEF4A" w14:textId="77777777" w:rsidR="002B3E25" w:rsidRDefault="002B3E25" w:rsidP="002B3E25">
      <w:pPr>
        <w:pStyle w:val="Opsommingnummers1"/>
        <w:numPr>
          <w:ilvl w:val="0"/>
          <w:numId w:val="59"/>
        </w:numPr>
      </w:pPr>
      <w:r>
        <w:t>ongegrondverklaring van het beroep, of</w:t>
      </w:r>
    </w:p>
    <w:p w14:paraId="120BD34F" w14:textId="77777777" w:rsidR="002B3E25" w:rsidRDefault="002B3E25" w:rsidP="002B3E25">
      <w:pPr>
        <w:pStyle w:val="Opsommingnummers1"/>
        <w:numPr>
          <w:ilvl w:val="0"/>
          <w:numId w:val="59"/>
        </w:numPr>
      </w:pPr>
      <w:r>
        <w:t>gegrondverklaring van het beroep.</w:t>
      </w:r>
    </w:p>
    <w:p w14:paraId="6AB646FA" w14:textId="77777777" w:rsidR="002B3E25" w:rsidRDefault="002B3E25" w:rsidP="002B3E25">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w:t>
      </w:r>
      <w:r>
        <w:t>het programma waartegen beroep ingesteld is</w:t>
      </w:r>
      <w:r w:rsidRPr="006A2D13">
        <w:t xml:space="preserve">.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40"/>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41"/>
      </w:r>
      <w:r w:rsidRPr="00C74C1A">
        <w:t xml:space="preserve">. </w:t>
      </w:r>
      <w:r>
        <w:t xml:space="preserve">De </w:t>
      </w:r>
      <w:r w:rsidRPr="005853F5">
        <w:t>bestuursrechter</w:t>
      </w:r>
      <w:r>
        <w:t xml:space="preserve"> kan echter bepalen dat</w:t>
      </w:r>
      <w:r>
        <w:rPr>
          <w:rStyle w:val="Voetnootmarkering"/>
        </w:rPr>
        <w:footnoteReference w:id="442"/>
      </w:r>
      <w:r>
        <w:t>:</w:t>
      </w:r>
    </w:p>
    <w:p w14:paraId="6DCDD762" w14:textId="77777777" w:rsidR="002B3E25" w:rsidRDefault="002B3E25" w:rsidP="002B3E25">
      <w:pPr>
        <w:pStyle w:val="Opsommingtekens1"/>
      </w:pPr>
      <w:r w:rsidRPr="001A0F01">
        <w:t>de rechtsgevolgen van het vernietigde besluit of het vernietigde gedeelte daarvan geheel of gedeeltelijk in stand blijven, of</w:t>
      </w:r>
    </w:p>
    <w:p w14:paraId="0CCCC064" w14:textId="77777777" w:rsidR="002B3E25" w:rsidRDefault="002B3E25" w:rsidP="002B3E25">
      <w:pPr>
        <w:pStyle w:val="Opsommingtekens1"/>
      </w:pPr>
      <w:r w:rsidRPr="007A1510">
        <w:t>zijn uitspraak in de plaats treedt van het vernietigde besluit of het vernietigde gedeelte daarvan.</w:t>
      </w:r>
    </w:p>
    <w:p w14:paraId="25FD847C" w14:textId="77777777" w:rsidR="002B3E25" w:rsidRDefault="002B3E25" w:rsidP="002B3E25">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43"/>
      </w:r>
      <w:r w:rsidRPr="0051135F">
        <w:t>:</w:t>
      </w:r>
    </w:p>
    <w:p w14:paraId="09D05FD1" w14:textId="77777777" w:rsidR="002B3E25" w:rsidRDefault="002B3E25" w:rsidP="002B3E25">
      <w:pPr>
        <w:pStyle w:val="Opsommingtekens1"/>
      </w:pPr>
      <w:r w:rsidRPr="0051135F">
        <w:t>bepalen dat wettelijke voorschriften over de voorbereiding van het nieuwe besluit of de andere handeling geheel of gedeeltelijk buiten toepassing blijven;</w:t>
      </w:r>
    </w:p>
    <w:p w14:paraId="19F89571" w14:textId="77777777" w:rsidR="002B3E25" w:rsidRDefault="002B3E25" w:rsidP="002B3E25">
      <w:pPr>
        <w:pStyle w:val="Opsommingtekens1"/>
      </w:pPr>
      <w:r w:rsidRPr="00C6111A">
        <w:t>het bestuursorgaan een termijn stellen voor het nemen van het nieuwe besluit of het verrichten van de andere handeling.</w:t>
      </w:r>
    </w:p>
    <w:p w14:paraId="7089D296" w14:textId="77777777" w:rsidR="002B3E25" w:rsidRDefault="002B3E25" w:rsidP="002B3E25"/>
    <w:p w14:paraId="7260A9B8" w14:textId="77777777" w:rsidR="002B3E25" w:rsidRDefault="002B3E25" w:rsidP="002B3E25">
      <w:r>
        <w:t>Als</w:t>
      </w:r>
      <w:r w:rsidRPr="008775B7">
        <w:t xml:space="preserve"> de bestuursrechter </w:t>
      </w:r>
      <w:r w:rsidRPr="00B3505C">
        <w:t xml:space="preserve">het besluit tot </w:t>
      </w:r>
      <w:r>
        <w:t xml:space="preserve">vaststelling of </w:t>
      </w:r>
      <w:r w:rsidRPr="00B3505C">
        <w:t xml:space="preserve">wijziging van het </w:t>
      </w:r>
      <w:r>
        <w:t xml:space="preserve">programma </w:t>
      </w:r>
      <w:r w:rsidRPr="00C71950">
        <w:t xml:space="preserve">geheel of gedeeltelijk vernietigt, moet </w:t>
      </w:r>
      <w:r w:rsidRPr="007432F9">
        <w:t xml:space="preserve">gemeente, waterschap, provincie of Rijk </w:t>
      </w:r>
      <w:r w:rsidRPr="00C71950">
        <w:t xml:space="preserve">mededeling doen van de uitspraak in </w:t>
      </w:r>
      <w:r w:rsidRPr="00B35245">
        <w:t>gemeenteblad, waterschapsblad, provinciaal blad of Staatscourant</w:t>
      </w:r>
      <w:r>
        <w:rPr>
          <w:rStyle w:val="Voetnootmarkering"/>
        </w:rPr>
        <w:footnoteReference w:id="444"/>
      </w:r>
      <w:r w:rsidRPr="008775B7">
        <w:t>.</w:t>
      </w:r>
      <w:r>
        <w:t xml:space="preserve"> Dat betekent dat </w:t>
      </w:r>
      <w:r w:rsidRPr="007432F9">
        <w:t xml:space="preserve">gemeente, waterschap, provincie of Rijk </w:t>
      </w:r>
      <w:r>
        <w:t>de inhoud van de uitspraak moet publiceren i</w:t>
      </w:r>
      <w:r w:rsidRPr="00C71950">
        <w:t xml:space="preserve">n </w:t>
      </w:r>
      <w:r>
        <w:t>het publicatieblad</w:t>
      </w:r>
      <w:r w:rsidRPr="008775B7">
        <w:t>.</w:t>
      </w:r>
    </w:p>
    <w:p w14:paraId="015BE0F9" w14:textId="77777777" w:rsidR="002B3E25" w:rsidRDefault="002B3E25" w:rsidP="002B3E25">
      <w:pPr>
        <w:pStyle w:val="Kop6"/>
      </w:pPr>
      <w:r>
        <w:t>Hoger beroep</w:t>
      </w:r>
    </w:p>
    <w:p w14:paraId="3CD25DF0" w14:textId="417315B8" w:rsidR="002B3E25" w:rsidRPr="00B709FB" w:rsidRDefault="002B3E25" w:rsidP="002B3E25">
      <w:r>
        <w:t xml:space="preserve">Tegen de uitspraak van de rechtbank </w:t>
      </w:r>
      <w:r w:rsidRPr="000E0857">
        <w:t xml:space="preserve">kunnen een belanghebbende en het bestuursorgaan </w:t>
      </w:r>
      <w:r>
        <w:t>hoger beroep instellen bij de Afdeling bestuursrechtspraak van de Raad van State</w:t>
      </w:r>
      <w:r>
        <w:rPr>
          <w:rStyle w:val="Voetnootmarkering"/>
        </w:rPr>
        <w:footnoteReference w:id="445"/>
      </w:r>
      <w:r>
        <w:t>. Op het hoger beroep zijn de bepalingen over het beroep in eerste aanleg en over de voorlopige voorziening van overeenkomstige toepassing</w:t>
      </w:r>
      <w:r>
        <w:rPr>
          <w:rStyle w:val="Voetnootmarkering"/>
        </w:rPr>
        <w:footnoteReference w:id="446"/>
      </w:r>
      <w:r>
        <w:t xml:space="preserve">. </w:t>
      </w:r>
      <w:r w:rsidR="00C01AB3">
        <w:t>D</w:t>
      </w:r>
      <w:r>
        <w:t xml:space="preserve">at wat in de verschillende onderdelen van </w:t>
      </w:r>
      <w:r>
        <w:lastRenderedPageBreak/>
        <w:t xml:space="preserve">paragraaf </w:t>
      </w:r>
      <w:r>
        <w:fldChar w:fldCharType="begin"/>
      </w:r>
      <w:r>
        <w:instrText xml:space="preserve"> REF _Ref_a29bbb07994a47f5128814f4275d3fc1_1 \n \h </w:instrText>
      </w:r>
      <w:r>
        <w:fldChar w:fldCharType="separate"/>
      </w:r>
      <w:r w:rsidR="00D33EA9">
        <w:t>10.11.4.1</w:t>
      </w:r>
      <w:r>
        <w:fldChar w:fldCharType="end"/>
      </w:r>
      <w:r>
        <w:t xml:space="preserve"> is beschreven </w:t>
      </w:r>
      <w:r w:rsidR="00C01AB3">
        <w:t xml:space="preserve">is -mutatis mutandis- </w:t>
      </w:r>
      <w:r>
        <w:t>ook van toepassing bij hoger beroep.</w:t>
      </w:r>
    </w:p>
    <w:p w14:paraId="6D6AA3D7" w14:textId="77777777" w:rsidR="002B3E25" w:rsidRDefault="002B3E25" w:rsidP="002B3E25">
      <w:pPr>
        <w:pStyle w:val="Kop6"/>
      </w:pPr>
      <w:r>
        <w:t>Consolidatieplicht</w:t>
      </w:r>
    </w:p>
    <w:p w14:paraId="2F1C6ABD" w14:textId="77777777" w:rsidR="002B3E25" w:rsidRDefault="002B3E25" w:rsidP="002B3E25">
      <w:r w:rsidRPr="000C79EF">
        <w:t xml:space="preserve">Omgevingswet, Omgevingsbesluit en Bekendmakingswet stellen het niet verplicht om </w:t>
      </w:r>
      <w:r w:rsidRPr="001C7F8E">
        <w:t>programma</w:t>
      </w:r>
      <w:r>
        <w:t>’</w:t>
      </w:r>
      <w:r w:rsidRPr="001C7F8E">
        <w:t xml:space="preserve">s in geconsolideerde vorm beschikbaar te houden. Er geldt dus geen </w:t>
      </w:r>
      <w:r>
        <w:t xml:space="preserve">wettelijke </w:t>
      </w:r>
      <w:r w:rsidRPr="001C7F8E">
        <w:t xml:space="preserve">verplichting om </w:t>
      </w:r>
      <w:r>
        <w:t>de uitspraak van de bestuursrechter</w:t>
      </w:r>
      <w:r w:rsidRPr="001150FC">
        <w:t xml:space="preserve">, voor zover die uitspraak gevolgen heeft voor de inhoud daarvan, </w:t>
      </w:r>
      <w:r w:rsidRPr="001C7F8E">
        <w:t>in de initiële regeling van het programma te verwerken. Het is wel wenselijk en zelfs noodzakelijk om dat te doen. Dat is namelijk de enige manier om in de lokale en nationale wettenbank én in DSO-LV de volledige en actuele geconsolideerde versie van het programma te kunnen raadplegen.</w:t>
      </w:r>
    </w:p>
    <w:p w14:paraId="7037A368" w14:textId="77777777" w:rsidR="002B3E25" w:rsidRDefault="002B3E25" w:rsidP="002B3E25">
      <w:pPr>
        <w:pStyle w:val="Kop6"/>
      </w:pPr>
      <w:r>
        <w:t>V</w:t>
      </w:r>
      <w:r w:rsidRPr="00EE1CBA">
        <w:t>erstrekken informatie over status besluit</w:t>
      </w:r>
    </w:p>
    <w:p w14:paraId="2184C950" w14:textId="77777777" w:rsidR="002B3E25" w:rsidRDefault="002B3E25" w:rsidP="002B3E25">
      <w:r>
        <w:t>G</w:t>
      </w:r>
      <w:r w:rsidRPr="009F0180">
        <w:t xml:space="preserve">emeente, waterschap, provincie of Rijk </w:t>
      </w:r>
      <w:r w:rsidRPr="00DD1F70">
        <w:t xml:space="preserve">moet, ten behoeve van ontsluiting in DSO-LV, aan het Kadaster informatie verstrekken over de status van het besluit tot </w:t>
      </w:r>
      <w:r>
        <w:t xml:space="preserve">vaststelling of </w:t>
      </w:r>
      <w:r w:rsidRPr="00DD1F70">
        <w:t xml:space="preserve">wijziging van het </w:t>
      </w:r>
      <w:r>
        <w:t>programma</w:t>
      </w:r>
      <w:r>
        <w:rPr>
          <w:rStyle w:val="Voetnootmarkering"/>
        </w:rPr>
        <w:footnoteReference w:id="447"/>
      </w:r>
      <w:r>
        <w:t>. Deze informatieverstrekking geschiedt via een aanlevering aan de LVBB, die de informatie doorlevert aan DSO-LV. Het betreft informatie over</w:t>
      </w:r>
      <w:r>
        <w:rPr>
          <w:rStyle w:val="Voetnootmarkering"/>
        </w:rPr>
        <w:footnoteReference w:id="448"/>
      </w:r>
      <w:r>
        <w:t>:</w:t>
      </w:r>
    </w:p>
    <w:p w14:paraId="7E2BD7B4" w14:textId="77777777" w:rsidR="002B3E25" w:rsidRDefault="002B3E25" w:rsidP="002B3E25">
      <w:pPr>
        <w:pStyle w:val="Opsommingtekens1"/>
      </w:pPr>
      <w:r>
        <w:t>het gegeven dat tegen het besluit beroep is ingesteld;</w:t>
      </w:r>
    </w:p>
    <w:p w14:paraId="72FF05D4" w14:textId="77777777" w:rsidR="002B3E25" w:rsidRDefault="002B3E25" w:rsidP="002B3E25">
      <w:pPr>
        <w:pStyle w:val="Opsommingtekens1"/>
      </w:pPr>
      <w:r>
        <w:t>het gegeven dat het besluit, of een deel daarvan, is geschorst;</w:t>
      </w:r>
    </w:p>
    <w:p w14:paraId="3C8F9685" w14:textId="77777777" w:rsidR="002B3E25" w:rsidRDefault="002B3E25" w:rsidP="002B3E25">
      <w:pPr>
        <w:pStyle w:val="Opsommingtekens1"/>
      </w:pPr>
      <w:r>
        <w:t>het gegeven dat het besluit, of een deel daarvan, onherroepelijk is geworden;</w:t>
      </w:r>
    </w:p>
    <w:p w14:paraId="6B8E3392" w14:textId="77777777" w:rsidR="002B3E25" w:rsidRDefault="002B3E25" w:rsidP="002B3E25">
      <w:pPr>
        <w:pStyle w:val="Opsommingtekens1"/>
      </w:pPr>
      <w:r>
        <w:t>het gegeven dat het besluit, of een deel daarvan, is vernietigd;</w:t>
      </w:r>
    </w:p>
    <w:p w14:paraId="495D5E47" w14:textId="77777777" w:rsidR="002B3E25" w:rsidRDefault="002B3E25" w:rsidP="002B3E25">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