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F8E4" w14:textId="6D6D130C" w:rsidR="00AC093D" w:rsidRDefault="00AC093D" w:rsidP="00AC093D">
      <w:pPr>
        <w:pStyle w:val="Kop3"/>
      </w:pPr>
      <w:bookmarkStart w:id="1568" w:name="_Ref_e8f7b0768935f30d250f292aa77d0547_1"/>
      <w:commentRangeStart w:id="1570"/>
      <w:r>
        <w:lastRenderedPageBreak/>
        <w:t xml:space="preserve">Procedure instructie </w:t>
      </w:r>
      <w:commentRangeEnd w:id="1570"/>
      <w:r w:rsidR="003C6874">
        <w:rPr>
          <w:rStyle w:val="Verwijzingopmerking"/>
          <w:b w:val="0"/>
          <w:bCs w:val="0"/>
        </w:rPr>
        <w:commentReference w:id="1570"/>
      </w:r>
      <w:r>
        <w:t>en aan te leveren producten en gegevens</w:t>
      </w:r>
      <w:bookmarkEnd w:id="1568"/>
    </w:p>
    <w:p w14:paraId="01F22AFC" w14:textId="39C71B59" w:rsidR="00AC093D" w:rsidRDefault="00AC093D" w:rsidP="00AC093D">
      <w:r w:rsidRPr="005A6688">
        <w:t xml:space="preserve">In deze paragraaf wordt de procedure beschreven die </w:t>
      </w:r>
      <w:r w:rsidRPr="00271D44">
        <w:t>een besluit tot vaststelling of wijziging</w:t>
      </w:r>
      <w:r w:rsidRPr="005A6688">
        <w:t xml:space="preserve"> van </w:t>
      </w:r>
      <w:r>
        <w:t xml:space="preserve">een </w:t>
      </w:r>
      <w:r w:rsidR="00715A35">
        <w:t>instructie</w:t>
      </w:r>
      <w:r w:rsidRPr="005A6688">
        <w:t xml:space="preserve"> doorloopt. Van iedere stap in die procedure wordt aangegeven </w:t>
      </w:r>
      <w:r w:rsidRPr="00C2011C">
        <w:t xml:space="preserve">of deze door de STOP/TPOD-standaard en de DSO-keten wordt ondersteund en zo ja, </w:t>
      </w:r>
      <w:r w:rsidRPr="005A6688">
        <w:t>welke producten en welke gegevens en metadata moeten worden aangeleverd.</w:t>
      </w:r>
    </w:p>
    <w:p w14:paraId="50C0944B" w14:textId="13EFA49E" w:rsidR="00C235A5" w:rsidRDefault="00B115BB" w:rsidP="00AC093D">
      <w:r>
        <w:fldChar w:fldCharType="begin"/>
      </w:r>
      <w:r>
        <w:instrText xml:space="preserve"> REF _Ref_e8f7b0768935f30d250f292aa77d0547_2 \n \h </w:instrText>
      </w:r>
      <w:r>
        <w:fldChar w:fldCharType="separate"/>
      </w:r>
      <w:r w:rsidR="00C235A5">
        <w:t>Figuur 172</w:t>
      </w:r>
      <w:r>
        <w:fldChar w:fldCharType="end"/>
      </w:r>
      <w:r w:rsidR="00AC093D">
        <w:t xml:space="preserve"> geeft een overzicht van de verschillende fasen in de procedure van</w:t>
      </w:r>
      <w:r w:rsidR="008C73F0">
        <w:t xml:space="preserve"> de instructie</w:t>
      </w:r>
      <w:r w:rsidR="00AC093D">
        <w:t>.</w:t>
      </w:r>
    </w:p>
    <w:p w14:paraId="1ED87044" w14:textId="0705F0AB" w:rsidR="00331B67" w:rsidRDefault="00331B67" w:rsidP="00AC093D">
      <w:r>
        <w:t>Er geldt geen wettelijke verplichting om a</w:t>
      </w:r>
      <w:r w:rsidRPr="00D12CC5">
        <w:t xml:space="preserve">fdeling 3.4 Awb </w:t>
      </w:r>
      <w:r>
        <w:t xml:space="preserve">toe te passen bij de voorbereiding van het geven van een instructie. Het bestuursorgaan dat de instructie geeft, kan bij het ontbreken van een wettelijke </w:t>
      </w:r>
      <w:r w:rsidRPr="00AC4AE7">
        <w:t xml:space="preserve">verplichting </w:t>
      </w:r>
      <w:r w:rsidRPr="006C2526">
        <w:t xml:space="preserve">wel zelf besluiten </w:t>
      </w:r>
      <w:r w:rsidRPr="00AC4AE7">
        <w:t>om afdeling 3.4 Awb toe te passen</w:t>
      </w:r>
      <w:r>
        <w:rPr>
          <w:rStyle w:val="Voetnootmarkering"/>
        </w:rPr>
        <w:footnoteReference w:id="445"/>
      </w:r>
      <w:r>
        <w:t xml:space="preserve">. Gezien het karakter van de instructie ligt het niet voor de hand om dat te doen. Daarom wordt de ontwerpfase in dit toepassingsprofiel niet beschreven. Het is wel mogelijk om het ontwerp van een instructie met toepassing van de STOP/TPOD-standaard op te stellen en ter publicatie aan de LVBB aan te bieden. </w:t>
      </w:r>
      <w:r w:rsidR="00C40193">
        <w:t xml:space="preserve">In dat geval kan de beschrijving van de ontwerpfase in het TPOD programma overeenkomstig worden toegepast. </w:t>
      </w:r>
      <w:r w:rsidR="00F9283C">
        <w:t xml:space="preserve">Wanneer </w:t>
      </w:r>
      <w:r w:rsidR="007E5956">
        <w:t>blijkt</w:t>
      </w:r>
      <w:r w:rsidR="00F9283C">
        <w:t xml:space="preserve"> dat er geregeld ontwerp-instructies met toepassing van de STOP/TPOD-standaard worden gepubliceerd, kan de</w:t>
      </w:r>
      <w:r w:rsidR="00983236">
        <w:t xml:space="preserve"> beschrijving van de on</w:t>
      </w:r>
      <w:r w:rsidR="00953F91">
        <w:t>t</w:t>
      </w:r>
      <w:r w:rsidR="00983236">
        <w:t>werpfase in de toekomst aan dit toepassingsprofiel worden toegevoegd.</w:t>
      </w:r>
    </w:p>
    <w:p w14:paraId="1D354F42" w14:textId="6D0B31D6" w:rsidR="00AC093D" w:rsidRDefault="00481114" w:rsidP="00AC093D">
      <w:r>
        <w:t xml:space="preserve">Er geldt geen consolidatieverplichting voor de instructie. </w:t>
      </w:r>
      <w:r w:rsidR="009A488C">
        <w:t xml:space="preserve">Gevolgen van de uitspraken die in de beroepsfase gedaan worden, worden </w:t>
      </w:r>
      <w:r w:rsidR="00C02EB1">
        <w:t xml:space="preserve">naar verwachting </w:t>
      </w:r>
      <w:r w:rsidR="009A488C">
        <w:t xml:space="preserve">niet verwerkt in de instructie. </w:t>
      </w:r>
      <w:r w:rsidR="001537C5">
        <w:t xml:space="preserve">Vooralsnog </w:t>
      </w:r>
      <w:r w:rsidR="00331B67">
        <w:t>kan</w:t>
      </w:r>
      <w:r w:rsidR="001537C5">
        <w:t xml:space="preserve"> er geen info</w:t>
      </w:r>
      <w:r w:rsidR="00331B67">
        <w:t>r</w:t>
      </w:r>
      <w:r w:rsidR="001537C5">
        <w:t xml:space="preserve">matie over de status van omgevingsdocumenten in de beroepsfase </w:t>
      </w:r>
      <w:r w:rsidR="00331B67">
        <w:t xml:space="preserve">worden </w:t>
      </w:r>
      <w:r w:rsidR="001537C5">
        <w:t>doorgegeven. Daarom wordt d</w:t>
      </w:r>
      <w:r w:rsidR="00AC093D">
        <w:t xml:space="preserve">e beroepsfase </w:t>
      </w:r>
      <w:r w:rsidR="001537C5">
        <w:t xml:space="preserve">in dit toepassingsprofiel </w:t>
      </w:r>
      <w:r w:rsidR="00A85BC1">
        <w:t xml:space="preserve">niet </w:t>
      </w:r>
      <w:r w:rsidR="001537C5">
        <w:t>beschreven</w:t>
      </w:r>
      <w:r w:rsidR="00AC093D">
        <w:t xml:space="preserve">. </w:t>
      </w:r>
      <w:r w:rsidR="00AC093D" w:rsidRPr="006C16F4">
        <w:t xml:space="preserve">Dat is in het kleurgebruik van de </w:t>
      </w:r>
      <w:r w:rsidR="00AC093D">
        <w:t>fasen</w:t>
      </w:r>
      <w:r w:rsidR="00AC093D" w:rsidRPr="006C16F4">
        <w:t xml:space="preserve"> in het schema tot uitdrukking gebracht</w:t>
      </w:r>
      <w:r w:rsidR="00AC093D">
        <w:t>.</w:t>
      </w:r>
      <w:r w:rsidR="00883706">
        <w:t xml:space="preserve"> Indien gewenst kan </w:t>
      </w:r>
      <w:r w:rsidR="00543414" w:rsidRPr="00543414">
        <w:t xml:space="preserve">in de toekomst </w:t>
      </w:r>
      <w:r w:rsidR="00E913A1">
        <w:t xml:space="preserve">een </w:t>
      </w:r>
      <w:r w:rsidR="00883706">
        <w:t xml:space="preserve">beschrijving </w:t>
      </w:r>
      <w:r w:rsidR="00E913A1">
        <w:t xml:space="preserve">van de beroepsfase </w:t>
      </w:r>
      <w:r w:rsidR="00883706">
        <w:t>worden toegevoegd.</w:t>
      </w:r>
    </w:p>
    <w:p w14:paraId="212E50AC" w14:textId="394CB000" w:rsidR="00AC093D" w:rsidRDefault="00CD6F60" w:rsidP="00AC093D">
      <w:pPr>
        <w:pStyle w:val="Figuur"/>
      </w:pPr>
      <w:r>
        <w:rPr>
          <w:noProof/>
        </w:rPr>
        <w:drawing>
          <wp:inline distT="0" distB="0" distL="0" distR="0" wp14:anchorId="4E08CCE9" wp14:editId="771F24F8">
            <wp:extent cx="4019550" cy="776590"/>
            <wp:effectExtent l="0" t="0" r="0" b="5080"/>
            <wp:docPr id="1004024733" name="Afbeelding 1004024733" descr="Afbeelding met tekst, Lettertype, schermopnam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24733" name="Afbeelding 4" descr="Afbeelding met tekst, Lettertype, schermopname, Elektrisch blauw&#10;&#10;Automatisch gegenereerde beschrijving"/>
                    <pic:cNvPicPr/>
                  </pic:nvPicPr>
                  <pic:blipFill>
                    <a:blip r:embed="rId172"/>
                    <a:stretch>
                      <a:fillRect/>
                    </a:stretch>
                  </pic:blipFill>
                  <pic:spPr>
                    <a:xfrm>
                      <a:off x="0" y="0"/>
                      <a:ext cx="4081560" cy="788571"/>
                    </a:xfrm>
                    <a:prstGeom prst="rect">
                      <a:avLst/>
                    </a:prstGeom>
                  </pic:spPr>
                </pic:pic>
              </a:graphicData>
            </a:graphic>
          </wp:inline>
        </w:drawing>
      </w:r>
    </w:p>
    <w:p w14:paraId="08D9AB15" w14:textId="48CEAD81" w:rsidR="00AC093D" w:rsidRPr="004556D5" w:rsidRDefault="00AC093D" w:rsidP="00AC093D">
      <w:pPr>
        <w:pStyle w:val="Figuurbijschrift"/>
      </w:pPr>
      <w:r w:rsidRPr="00AA08CF">
        <w:tab/>
      </w:r>
      <w:bookmarkStart w:id="1571" w:name="_Ref_e8f7b0768935f30d250f292aa77d0547_2"/>
      <w:r w:rsidRPr="00AA08CF">
        <w:t>Globaal overzicht van de procedure</w:t>
      </w:r>
      <w:bookmarkEnd w:id="1571"/>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image" Target="media/image_d249af94ac08cc8a25407b331949cbb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